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hi_IN" w:bidi="hi_IN"/>
        </w:rPr>
      </w:r>
    </w:p>
    <w:p>
      <w:pPr>
        <w:pStyle w:val="Heading2"/>
      </w:pPr>
      <w:r>
        <w:rPr>
          <w:lang w:val="hi_IN" w:bidi="hi_IN"/>
        </w:rPr>
        <w:t>Resource: Aquifer Open Study Notes (Book Intro Summaries)</w:t>
      </w:r>
      <w:r>
        <w:rPr>
          <w:lang w:val="hi_IN" w:bidi="hi_IN"/>
        </w:rPr>
      </w:r>
    </w:p>
    <w:p>
      <w:pPr/>
      <w:r>
        <w:rPr>
          <w:lang w:val="hi_IN" w:bidi="hi_IN"/>
        </w:rPr>
      </w:r>
      <w:r>
        <w:rPr>
          <w:b/>
          <w:lang w:val="hi_IN" w:bidi="hi_IN"/>
        </w:rPr>
        <w:t>Aquifer Open Study Notes (Book Intro Summaries)</w:t>
      </w:r>
    </w:p>
    <w:p>
      <w:pPr/>
      <w:r>
        <w:rPr>
          <w:lang w:val="hi_IN" w:bidi="hi_IN"/>
        </w:rPr>
      </w:r>
      <w:r>
        <w:rPr>
          <w:lang w:val="hi_IN" w:bidi="hi_IN"/>
        </w:rPr>
        <w:t xml:space="preserve">This work is an adaptation of </w:t>
      </w:r>
      <w:r>
        <w:rPr>
          <w:lang w:val="hi_IN" w:bidi="hi_IN"/>
        </w:rPr>
        <w:t>Tyndale Open Study Notes</w:t>
      </w:r>
      <w:r>
        <w:rPr>
          <w:lang w:val="hi_IN" w:bidi="hi_IN"/>
        </w:rPr>
        <w:t xml:space="preserve"> © 2023 Tyndale House Publishers, licensed under the CC BY-SA 4.0 license. The adaptation, </w:t>
      </w:r>
      <w:r>
        <w:rPr>
          <w:lang w:val="hi_IN" w:bidi="hi_IN"/>
        </w:rPr>
        <w:t>Aquifer Open Study Notes</w:t>
      </w:r>
      <w:r>
        <w:rPr>
          <w:lang w:val="hi_IN" w:bidi="hi_IN"/>
        </w:rPr>
        <w:t>, was created by Mission Mutual and is also licensed under CC BY-SA 4.0.</w:t>
      </w:r>
    </w:p>
    <w:p>
      <w:pPr/>
      <w:r>
        <w:rPr>
          <w:lang w:val="hi_IN" w:bidi="hi_IN"/>
        </w:rPr>
      </w:r>
      <w:r>
        <w:rPr>
          <w:lang w:val="hi_IN" w:bidi="hi_IN"/>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hi_IN" w:bidi="hi_IN"/>
        </w:rPr>
      </w:r>
      <w:r>
        <w:rPr>
          <w:lang w:val="hi_IN" w:bidi="hi_IN"/>
        </w:rPr>
      </w:r>
    </w:p>
    <w:p>
      <w:pPr>
        <w:pStyle w:val="Heading1"/>
      </w:pPr>
      <w:r>
        <w:rPr>
          <w:lang w:val="hi_IN" w:bidi="hi_IN"/>
        </w:rPr>
        <w:t>Aquifer Open Study Notes (Book Intro Summaries)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JAS</w:t>
      </w:r>
      <w:r>
        <w:rPr>
          <w:lang w:val="hi_IN" w:bidi="hi_IN"/>
        </w:rPr>
      </w:r>
    </w:p>
    <w:p>
      <w:pPr/>
      <w:r>
        <w:rPr>
          <w:lang w:val="hi_IN" w:bidi="hi_IN"/>
        </w:rPr>
      </w:r>
      <w:r>
        <w:rPr>
          <w:lang w:val="hi_IN" w:bidi="hi_IN"/>
        </w:rPr>
        <w:t xml:space="preserve"> </w:t>
      </w:r>
      <w:r>
        <w:rPr>
          <w:lang w:val="hi_IN" w:bidi="hi_IN"/>
        </w:rPr>
      </w:r>
      <w:r>
        <w:rPr>
          <w:lang w:val="hi_IN" w:bidi="hi_I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याकूब</w:t>
      </w:r>
      <w:r>
        <w:rPr>
          <w:lang w:val="hi_IN" w:bidi="hi_IN"/>
        </w:rPr>
      </w:r>
    </w:p>
    <w:p>
      <w:pPr/>
      <w:r>
        <w:rPr>
          <w:lang w:val="hi_IN" w:bidi="hi_IN"/>
        </w:rPr>
      </w:r>
      <w:r>
        <w:rPr>
          <w:lang w:val="hi_IN" w:bidi="hi_IN"/>
        </w:rPr>
        <w:t>याकूब की पत्री</w:t>
      </w:r>
    </w:p>
    <w:p>
      <w:pPr>
        <w:pStyle w:val="Heading3"/>
      </w:pPr>
      <w:r>
        <w:rPr>
          <w:lang w:val="hi_IN" w:bidi="hi_IN"/>
        </w:rPr>
        <w:t>उद्देश्य</w:t>
      </w:r>
    </w:p>
    <w:p>
      <w:pPr/>
      <w:r>
        <w:rPr>
          <w:lang w:val="hi_IN" w:bidi="hi_IN"/>
        </w:rPr>
      </w:r>
      <w:r>
        <w:rPr>
          <w:lang w:val="hi_IN" w:bidi="hi_IN"/>
        </w:rPr>
        <w:t>व्यावहारिक ज्ञान साझा करना और पाठकों को उनके विश्वास को बनाए रखने के लिए चुनौती देना—एक ऐसा विश्वास जो जीवित तथा औरों पर केंद्रित है</w:t>
      </w:r>
    </w:p>
    <w:p>
      <w:pPr>
        <w:pStyle w:val="Heading3"/>
      </w:pPr>
      <w:r>
        <w:rPr>
          <w:lang w:val="hi_IN" w:bidi="hi_IN"/>
        </w:rPr>
        <w:t>लेखक</w:t>
      </w:r>
    </w:p>
    <w:p>
      <w:pPr/>
      <w:r>
        <w:rPr>
          <w:lang w:val="hi_IN" w:bidi="hi_IN"/>
        </w:rPr>
      </w:r>
      <w:r>
        <w:rPr>
          <w:lang w:val="hi_IN" w:bidi="hi_IN"/>
        </w:rPr>
        <w:t>याकूब, यीशु का भाई</w:t>
      </w:r>
    </w:p>
    <w:p>
      <w:pPr>
        <w:pStyle w:val="Heading3"/>
      </w:pPr>
      <w:r>
        <w:rPr>
          <w:lang w:val="hi_IN" w:bidi="hi_IN"/>
        </w:rPr>
        <w:t>तिथि</w:t>
      </w:r>
    </w:p>
    <w:p>
      <w:pPr/>
      <w:r>
        <w:rPr>
          <w:lang w:val="hi_IN" w:bidi="hi_IN"/>
        </w:rPr>
      </w:r>
      <w:r>
        <w:rPr>
          <w:lang w:val="hi_IN" w:bidi="hi_IN"/>
        </w:rPr>
        <w:t>46 ई. सन्. के आसपास</w:t>
      </w:r>
    </w:p>
    <w:p>
      <w:pPr>
        <w:pStyle w:val="Heading3"/>
      </w:pPr>
      <w:r>
        <w:rPr>
          <w:lang w:val="hi_IN" w:bidi="hi_IN"/>
        </w:rPr>
        <w:t>घटनास्थल</w:t>
      </w:r>
    </w:p>
    <w:p>
      <w:pPr/>
      <w:r>
        <w:rPr>
          <w:lang w:val="hi_IN" w:bidi="hi_IN"/>
        </w:rPr>
      </w:r>
      <w:r>
        <w:rPr>
          <w:lang w:val="hi_IN" w:bidi="hi_IN"/>
        </w:rPr>
        <w:t>उन यहूदी विश्वासियों को लिखी गई—संभवतः यरूशलेम से—जो स्तिफनुस के मारे जाने से आरंभ हुए सताव के पश्चात तितर-बितर हुए थे</w:t>
      </w:r>
      <w:r>
        <w:rPr>
          <w:lang w:val="hi_IN" w:bidi="hi_IN"/>
        </w:rPr>
      </w:r>
      <w:r>
        <w:rPr>
          <w:lang w:val="hi_IN" w:bidi="hi_IN"/>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hi_I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