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RUT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Rut</w:t>
      </w:r>
      <w:r>
        <w:rPr>
          <w:lang w:val="id_ID" w:bidi="id_ID"/>
        </w:rPr>
      </w:r>
    </w:p>
    <w:p>
      <w:pPr/>
      <w:r>
        <w:rPr>
          <w:lang w:val="id_ID" w:bidi="id_ID"/>
        </w:rPr>
      </w:r>
      <w:r>
        <w:rPr>
          <w:lang w:val="id_ID" w:bidi="id_ID"/>
        </w:rPr>
        <w:t>Kitab Rut</w:t>
      </w:r>
    </w:p>
    <w:p>
      <w:pPr>
        <w:pStyle w:val="Heading3"/>
      </w:pPr>
      <w:r>
        <w:rPr>
          <w:lang w:val="id_ID" w:bidi="id_ID"/>
        </w:rPr>
        <w:t>Tujuan</w:t>
      </w:r>
    </w:p>
    <w:p>
      <w:pPr/>
      <w:r>
        <w:rPr>
          <w:lang w:val="id_ID" w:bidi="id_ID"/>
        </w:rPr>
      </w:r>
      <w:r>
        <w:rPr>
          <w:lang w:val="id_ID" w:bidi="id_ID"/>
        </w:rPr>
        <w:t>Menceritakan kisah Rut yang menginspirasi dan menelusuri latar belakang Raja Daud</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Mencatat peristiwa-peristiwa yang terjadi sekitar tahun 1100 SM</w:t>
      </w:r>
    </w:p>
    <w:p>
      <w:pPr>
        <w:pStyle w:val="Heading3"/>
      </w:pPr>
      <w:r>
        <w:rPr>
          <w:lang w:val="id_ID" w:bidi="id_ID"/>
        </w:rPr>
        <w:t>Latar Belakang</w:t>
      </w:r>
    </w:p>
    <w:p>
      <w:pPr/>
      <w:r>
        <w:rPr>
          <w:lang w:val="id_ID" w:bidi="id_ID"/>
        </w:rPr>
      </w:r>
      <w:r>
        <w:rPr>
          <w:lang w:val="id_ID" w:bidi="id_ID"/>
        </w:rPr>
        <w:t>Periode zaman hakim-hakim, selama dan segera setelah bencana kelaparan melanda Betlehem</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