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1SA</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Samuel</w:t>
      </w:r>
      <w:r>
        <w:rPr>
          <w:lang w:val="id_ID" w:bidi="id_ID"/>
        </w:rPr>
      </w:r>
    </w:p>
    <w:p>
      <w:pPr/>
      <w:r>
        <w:rPr>
          <w:lang w:val="id_ID" w:bidi="id_ID"/>
        </w:rPr>
      </w:r>
      <w:r>
        <w:rPr>
          <w:lang w:val="id_ID" w:bidi="id_ID"/>
        </w:rPr>
        <w:t>Kitab 1 Samuel</w:t>
      </w:r>
    </w:p>
    <w:p>
      <w:pPr>
        <w:pStyle w:val="Heading3"/>
      </w:pPr>
      <w:r>
        <w:rPr>
          <w:lang w:val="id_ID" w:bidi="id_ID"/>
        </w:rPr>
        <w:t>Tujuan</w:t>
      </w:r>
    </w:p>
    <w:p>
      <w:pPr/>
      <w:r>
        <w:rPr>
          <w:lang w:val="id_ID" w:bidi="id_ID"/>
        </w:rPr>
      </w:r>
      <w:r>
        <w:rPr>
          <w:lang w:val="id_ID" w:bidi="id_ID"/>
        </w:rPr>
        <w:t>Menceritakan pembentukan Kerajaan Israel dan menekankan karakter yang berbeda dari dua raja Israel yang pertama</w:t>
      </w:r>
    </w:p>
    <w:p>
      <w:pPr>
        <w:pStyle w:val="Heading3"/>
      </w:pPr>
      <w:r>
        <w:rPr>
          <w:lang w:val="id_ID" w:bidi="id_ID"/>
        </w:rPr>
        <w:t>Penulis</w:t>
      </w:r>
    </w:p>
    <w:p>
      <w:pPr/>
      <w:r>
        <w:rPr>
          <w:lang w:val="id_ID" w:bidi="id_ID"/>
        </w:rPr>
      </w:r>
      <w:r>
        <w:rPr>
          <w:lang w:val="id_ID" w:bidi="id_ID"/>
        </w:rPr>
        <w:t>Tidak diketahui</w:t>
      </w:r>
    </w:p>
    <w:p>
      <w:pPr>
        <w:pStyle w:val="Heading3"/>
      </w:pPr>
      <w:r>
        <w:rPr>
          <w:lang w:val="id_ID" w:bidi="id_ID"/>
        </w:rPr>
        <w:t>Tahun Penulisan</w:t>
      </w:r>
    </w:p>
    <w:p>
      <w:pPr/>
      <w:r>
        <w:rPr>
          <w:lang w:val="id_ID" w:bidi="id_ID"/>
        </w:rPr>
      </w:r>
      <w:r>
        <w:rPr>
          <w:lang w:val="id_ID" w:bidi="id_ID"/>
        </w:rPr>
        <w:t>Mencatat peristiwa-peristiwa yang terjadi sekitar tahun 1050–1011 SM</w:t>
      </w:r>
    </w:p>
    <w:p>
      <w:pPr>
        <w:pStyle w:val="Heading3"/>
      </w:pPr>
      <w:r>
        <w:rPr>
          <w:lang w:val="id_ID" w:bidi="id_ID"/>
        </w:rPr>
        <w:t>Latar Belakang</w:t>
      </w:r>
    </w:p>
    <w:p>
      <w:pPr/>
      <w:r>
        <w:rPr>
          <w:lang w:val="id_ID" w:bidi="id_ID"/>
        </w:rPr>
      </w:r>
      <w:r>
        <w:rPr>
          <w:lang w:val="id_ID" w:bidi="id_ID"/>
        </w:rPr>
        <w:t>Peralihan dari zaman hakim-hakim kepada zaman Kerajaan Israel</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