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Samuel</w:t>
      </w:r>
      <w:r>
        <w:rPr>
          <w:lang w:val="id_ID" w:bidi="id_ID"/>
        </w:rPr>
      </w:r>
    </w:p>
    <w:p>
      <w:pPr/>
      <w:r>
        <w:rPr>
          <w:lang w:val="id_ID" w:bidi="id_ID"/>
        </w:rPr>
      </w:r>
      <w:r>
        <w:rPr>
          <w:lang w:val="id_ID" w:bidi="id_ID"/>
        </w:rPr>
        <w:t>Kitab 2 Samuel</w:t>
      </w:r>
    </w:p>
    <w:p>
      <w:pPr>
        <w:pStyle w:val="Heading3"/>
      </w:pPr>
      <w:r>
        <w:rPr>
          <w:lang w:val="id_ID" w:bidi="id_ID"/>
        </w:rPr>
        <w:t>Tujuan</w:t>
      </w:r>
    </w:p>
    <w:p>
      <w:pPr/>
      <w:r>
        <w:rPr>
          <w:lang w:val="id_ID" w:bidi="id_ID"/>
        </w:rPr>
      </w:r>
      <w:r>
        <w:rPr>
          <w:lang w:val="id_ID" w:bidi="id_ID"/>
        </w:rPr>
        <w:t>Menggambarkan pemerintahan Daud dan membuktikan komitmen Allah terhadap garis keturunan Daud</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Mencatat peristiwa-peristiwa yang terjadi sekitar tahun 1011–971 SM</w:t>
      </w:r>
    </w:p>
    <w:p>
      <w:pPr>
        <w:pStyle w:val="Heading3"/>
      </w:pPr>
      <w:r>
        <w:rPr>
          <w:lang w:val="id_ID" w:bidi="id_ID"/>
        </w:rPr>
        <w:t>Latar Belakang</w:t>
      </w:r>
    </w:p>
    <w:p>
      <w:pPr/>
      <w:r>
        <w:rPr>
          <w:lang w:val="id_ID" w:bidi="id_ID"/>
        </w:rPr>
      </w:r>
      <w:r>
        <w:rPr>
          <w:lang w:val="id_ID" w:bidi="id_ID"/>
        </w:rPr>
        <w:t>Setelah kematian Saul, Daud berusaha mendirikan takhtanya atas seluruh Israel dan memperluas wilayah Israel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