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EST</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Ester</w:t>
      </w:r>
      <w:r>
        <w:rPr>
          <w:lang w:val="id_ID" w:bidi="id_ID"/>
        </w:rPr>
      </w:r>
    </w:p>
    <w:p>
      <w:pPr/>
      <w:r>
        <w:rPr>
          <w:lang w:val="id_ID" w:bidi="id_ID"/>
        </w:rPr>
      </w:r>
      <w:r>
        <w:rPr>
          <w:lang w:val="id_ID" w:bidi="id_ID"/>
        </w:rPr>
        <w:t>Kitab Ester</w:t>
      </w:r>
    </w:p>
    <w:p>
      <w:pPr>
        <w:pStyle w:val="Heading3"/>
      </w:pPr>
      <w:r>
        <w:rPr>
          <w:lang w:val="id_ID" w:bidi="id_ID"/>
        </w:rPr>
        <w:t>Tujuan</w:t>
      </w:r>
    </w:p>
    <w:p>
      <w:pPr/>
      <w:r>
        <w:rPr>
          <w:lang w:val="id_ID" w:bidi="id_ID"/>
        </w:rPr>
      </w:r>
      <w:r>
        <w:rPr>
          <w:lang w:val="id_ID" w:bidi="id_ID"/>
        </w:rPr>
        <w:t>Menyatakan kepedulian Allah memelihara umat-Nya dan menelusuri asal-usul perayaan Purim</w:t>
      </w:r>
    </w:p>
    <w:p>
      <w:pPr>
        <w:pStyle w:val="Heading3"/>
      </w:pPr>
      <w:r>
        <w:rPr>
          <w:lang w:val="id_ID" w:bidi="id_ID"/>
        </w:rPr>
        <w:t>Penulis</w:t>
      </w:r>
    </w:p>
    <w:p>
      <w:pPr/>
      <w:r>
        <w:rPr>
          <w:lang w:val="id_ID" w:bidi="id_ID"/>
        </w:rPr>
      </w:r>
      <w:r>
        <w:rPr>
          <w:lang w:val="id_ID" w:bidi="id_ID"/>
        </w:rPr>
        <w:t>Tidak diketahui</w:t>
      </w:r>
    </w:p>
    <w:p>
      <w:pPr>
        <w:pStyle w:val="Heading3"/>
      </w:pPr>
      <w:r>
        <w:rPr>
          <w:lang w:val="id_ID" w:bidi="id_ID"/>
        </w:rPr>
        <w:t>Tahun penulisan</w:t>
      </w:r>
    </w:p>
    <w:p>
      <w:pPr/>
      <w:r>
        <w:rPr>
          <w:lang w:val="id_ID" w:bidi="id_ID"/>
        </w:rPr>
      </w:r>
      <w:r>
        <w:rPr>
          <w:lang w:val="id_ID" w:bidi="id_ID"/>
        </w:rPr>
        <w:t>Mencatat peristiwa-peristiwa yang terjadi sekitar tahun 483–473 SM</w:t>
      </w:r>
    </w:p>
    <w:p>
      <w:pPr>
        <w:pStyle w:val="Heading3"/>
      </w:pPr>
      <w:r>
        <w:rPr>
          <w:lang w:val="id_ID" w:bidi="id_ID"/>
        </w:rPr>
        <w:t>Latar Belakang</w:t>
      </w:r>
    </w:p>
    <w:p>
      <w:pPr/>
      <w:r>
        <w:rPr>
          <w:lang w:val="id_ID" w:bidi="id_ID"/>
        </w:rPr>
      </w:r>
      <w:r>
        <w:rPr>
          <w:lang w:val="id_ID" w:bidi="id_ID"/>
        </w:rPr>
        <w:t>Ibukota Persia, Susa, dalam masa pemerintahan Ahasyweros, setelah sejumlah orang Yahudi kembali ke Yudea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