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GEN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Бытие</w:t>
      </w:r>
      <w:r>
        <w:rPr>
          <w:lang w:val="ru_RU" w:bidi="ru_RU"/>
        </w:rPr>
      </w:r>
    </w:p>
    <w:p>
      <w:pPr/>
      <w:r>
        <w:rPr>
          <w:lang w:val="ru_RU" w:bidi="ru_RU"/>
        </w:rPr>
      </w:r>
      <w:r>
        <w:rPr>
          <w:lang w:val="ru_RU" w:bidi="ru_RU"/>
        </w:rPr>
        <w:t>Книга Бытие</w:t>
      </w:r>
    </w:p>
    <w:p>
      <w:pPr>
        <w:pStyle w:val="Heading3"/>
      </w:pPr>
      <w:r>
        <w:rPr>
          <w:lang w:val="ru_RU" w:bidi="ru_RU"/>
        </w:rPr>
        <w:t>Цель</w:t>
      </w:r>
    </w:p>
    <w:p>
      <w:pPr/>
      <w:r>
        <w:rPr>
          <w:lang w:val="ru_RU" w:bidi="ru_RU"/>
        </w:rPr>
      </w:r>
      <w:r>
        <w:rPr>
          <w:lang w:val="ru_RU" w:bidi="ru_RU"/>
        </w:rPr>
        <w:t>Проследить становление Божьего плана по преодолению греха через Его избранный народ, Израиль.</w:t>
      </w:r>
    </w:p>
    <w:p>
      <w:pPr>
        <w:pStyle w:val="Heading3"/>
      </w:pPr>
      <w:r>
        <w:rPr>
          <w:lang w:val="ru_RU" w:bidi="ru_RU"/>
        </w:rPr>
        <w:t>Автор</w:t>
      </w:r>
    </w:p>
    <w:p>
      <w:pPr/>
      <w:r>
        <w:rPr>
          <w:lang w:val="ru_RU" w:bidi="ru_RU"/>
        </w:rPr>
      </w:r>
      <w:r>
        <w:rPr>
          <w:lang w:val="ru_RU" w:bidi="ru_RU"/>
        </w:rPr>
        <w:t>Моисей, согласно преданию</w:t>
      </w:r>
    </w:p>
    <w:p>
      <w:pPr>
        <w:pStyle w:val="Heading3"/>
      </w:pPr>
      <w:r>
        <w:rPr>
          <w:lang w:val="ru_RU" w:bidi="ru_RU"/>
        </w:rPr>
        <w:t>Дата</w:t>
      </w:r>
    </w:p>
    <w:p>
      <w:pPr/>
      <w:r>
        <w:rPr>
          <w:lang w:val="ru_RU" w:bidi="ru_RU"/>
        </w:rPr>
      </w:r>
      <w:r>
        <w:rPr>
          <w:lang w:val="ru_RU" w:bidi="ru_RU"/>
        </w:rPr>
        <w:t>Записи первобытных событий и событий патриархального периода (ок. 2100–1700 гг. до Р.Х.)</w:t>
      </w:r>
    </w:p>
    <w:p>
      <w:pPr>
        <w:pStyle w:val="Heading3"/>
      </w:pPr>
      <w:r>
        <w:rPr>
          <w:lang w:val="ru_RU" w:bidi="ru_RU"/>
        </w:rPr>
        <w:t>Контекст</w:t>
      </w:r>
    </w:p>
    <w:p>
      <w:pPr/>
      <w:r>
        <w:rPr>
          <w:lang w:val="ru_RU" w:bidi="ru_RU"/>
        </w:rPr>
      </w:r>
      <w:r>
        <w:rPr>
          <w:lang w:val="ru_RU" w:bidi="ru_RU"/>
        </w:rPr>
        <w:t>Различные места на Ближнем Востоке; основное внимание уделяется патриархам во время их пребывания в Ханаане и Египте.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