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EZK</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Иезекииля</w:t>
      </w:r>
      <w:r>
        <w:rPr>
          <w:lang w:val="ru_RU" w:bidi="ru_RU"/>
        </w:rPr>
      </w:r>
    </w:p>
    <w:p>
      <w:pPr/>
      <w:r>
        <w:rPr>
          <w:lang w:val="ru_RU" w:bidi="ru_RU"/>
        </w:rPr>
      </w:r>
      <w:r>
        <w:rPr>
          <w:lang w:val="ru_RU" w:bidi="ru_RU"/>
        </w:rPr>
        <w:t>Книга пророка Иезекииля</w:t>
      </w:r>
    </w:p>
    <w:p>
      <w:pPr>
        <w:pStyle w:val="Heading3"/>
      </w:pPr>
      <w:r>
        <w:rPr>
          <w:lang w:val="ru_RU" w:bidi="ru_RU"/>
        </w:rPr>
        <w:t>Цель</w:t>
      </w:r>
    </w:p>
    <w:p>
      <w:pPr/>
      <w:r>
        <w:rPr>
          <w:lang w:val="ru_RU" w:bidi="ru_RU"/>
        </w:rPr>
      </w:r>
      <w:r>
        <w:rPr>
          <w:lang w:val="ru_RU" w:bidi="ru_RU"/>
        </w:rPr>
        <w:t>Объявить о грядущем суде над Иудой и дать надежду после разрушения Иерусалима.</w:t>
      </w:r>
    </w:p>
    <w:p>
      <w:pPr>
        <w:pStyle w:val="Heading3"/>
      </w:pPr>
      <w:r>
        <w:rPr>
          <w:lang w:val="ru_RU" w:bidi="ru_RU"/>
        </w:rPr>
        <w:t>Автор</w:t>
      </w:r>
    </w:p>
    <w:p>
      <w:pPr/>
      <w:r>
        <w:rPr>
          <w:lang w:val="ru_RU" w:bidi="ru_RU"/>
        </w:rPr>
      </w:r>
      <w:r>
        <w:rPr>
          <w:lang w:val="ru_RU" w:bidi="ru_RU"/>
        </w:rPr>
        <w:t>Иезекииль</w:t>
      </w:r>
    </w:p>
    <w:p>
      <w:pPr>
        <w:pStyle w:val="Heading3"/>
      </w:pPr>
      <w:r>
        <w:rPr>
          <w:lang w:val="ru_RU" w:bidi="ru_RU"/>
        </w:rPr>
        <w:t>Дата</w:t>
      </w:r>
    </w:p>
    <w:p>
      <w:pPr/>
      <w:r>
        <w:rPr>
          <w:lang w:val="ru_RU" w:bidi="ru_RU"/>
        </w:rPr>
      </w:r>
      <w:r>
        <w:rPr>
          <w:lang w:val="ru_RU" w:bidi="ru_RU"/>
        </w:rPr>
        <w:t>Приблизительно 593–571 гг. до Р.Х.</w:t>
      </w:r>
    </w:p>
    <w:p>
      <w:pPr>
        <w:pStyle w:val="Heading3"/>
      </w:pPr>
      <w:r>
        <w:rPr>
          <w:lang w:val="ru_RU" w:bidi="ru_RU"/>
        </w:rPr>
        <w:t>Контекст</w:t>
      </w:r>
    </w:p>
    <w:p>
      <w:pPr/>
      <w:r>
        <w:rPr>
          <w:lang w:val="ru_RU" w:bidi="ru_RU"/>
        </w:rPr>
      </w:r>
      <w:r>
        <w:rPr>
          <w:lang w:val="ru_RU" w:bidi="ru_RU"/>
        </w:rPr>
        <w:t>Изгнание в Вавилон непосредственно перед разрушением Иерусалима, во время и после этого.</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