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MIC</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Михея</w:t>
      </w:r>
      <w:r>
        <w:rPr>
          <w:lang w:val="ru_RU" w:bidi="ru_RU"/>
        </w:rPr>
      </w:r>
    </w:p>
    <w:p>
      <w:pPr/>
      <w:r>
        <w:rPr>
          <w:lang w:val="ru_RU" w:bidi="ru_RU"/>
        </w:rPr>
      </w:r>
      <w:r>
        <w:rPr>
          <w:lang w:val="ru_RU" w:bidi="ru_RU"/>
        </w:rPr>
        <w:t>Книга пророка Михея</w:t>
      </w:r>
    </w:p>
    <w:p>
      <w:pPr>
        <w:pStyle w:val="Heading3"/>
      </w:pPr>
      <w:r>
        <w:rPr>
          <w:lang w:val="ru_RU" w:bidi="ru_RU"/>
        </w:rPr>
        <w:t>Цель</w:t>
      </w:r>
    </w:p>
    <w:p>
      <w:pPr/>
      <w:r>
        <w:rPr>
          <w:lang w:val="ru_RU" w:bidi="ru_RU"/>
        </w:rPr>
      </w:r>
      <w:r>
        <w:rPr>
          <w:lang w:val="ru_RU" w:bidi="ru_RU"/>
        </w:rPr>
        <w:t>Провозгласить суд над Самарией и Иерусалимом, и в то же время выразить сильную надежду на будущее Израиля.</w:t>
      </w:r>
    </w:p>
    <w:p>
      <w:pPr>
        <w:pStyle w:val="Heading3"/>
      </w:pPr>
      <w:r>
        <w:rPr>
          <w:lang w:val="ru_RU" w:bidi="ru_RU"/>
        </w:rPr>
        <w:t>Автор</w:t>
      </w:r>
    </w:p>
    <w:p>
      <w:pPr/>
      <w:r>
        <w:rPr>
          <w:lang w:val="ru_RU" w:bidi="ru_RU"/>
        </w:rPr>
      </w:r>
      <w:r>
        <w:rPr>
          <w:lang w:val="ru_RU" w:bidi="ru_RU"/>
        </w:rPr>
        <w:t>Михей</w:t>
      </w:r>
    </w:p>
    <w:p>
      <w:pPr>
        <w:pStyle w:val="Heading3"/>
      </w:pPr>
      <w:r>
        <w:rPr>
          <w:lang w:val="ru_RU" w:bidi="ru_RU"/>
        </w:rPr>
        <w:t>Дата</w:t>
      </w:r>
    </w:p>
    <w:p>
      <w:pPr/>
      <w:r>
        <w:rPr>
          <w:lang w:val="ru_RU" w:bidi="ru_RU"/>
        </w:rPr>
      </w:r>
      <w:r>
        <w:rPr>
          <w:lang w:val="ru_RU" w:bidi="ru_RU"/>
        </w:rPr>
        <w:t>Приблизительно 735–686 гг. до Р.Х.</w:t>
      </w:r>
    </w:p>
    <w:p>
      <w:pPr>
        <w:pStyle w:val="Heading3"/>
      </w:pPr>
      <w:r>
        <w:rPr>
          <w:lang w:val="ru_RU" w:bidi="ru_RU"/>
        </w:rPr>
        <w:t>Контекст</w:t>
      </w:r>
    </w:p>
    <w:p>
      <w:pPr/>
      <w:r>
        <w:rPr>
          <w:lang w:val="ru_RU" w:bidi="ru_RU"/>
        </w:rPr>
      </w:r>
      <w:r>
        <w:rPr>
          <w:lang w:val="ru_RU" w:bidi="ru_RU"/>
        </w:rPr>
        <w:t>Северное Израильское царство незадолго до своего падения и Южное Иудейское царство во времена правления Иофама, Ахаза и Езекии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