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NAM</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Наума</w:t>
      </w:r>
      <w:r>
        <w:rPr>
          <w:lang w:val="ru_RU" w:bidi="ru_RU"/>
        </w:rPr>
      </w:r>
    </w:p>
    <w:p>
      <w:pPr/>
      <w:r>
        <w:rPr>
          <w:lang w:val="ru_RU" w:bidi="ru_RU"/>
        </w:rPr>
      </w:r>
      <w:r>
        <w:rPr>
          <w:lang w:val="ru_RU" w:bidi="ru_RU"/>
        </w:rPr>
        <w:t>Книга пророка Наума</w:t>
      </w:r>
    </w:p>
    <w:p>
      <w:pPr>
        <w:pStyle w:val="Heading3"/>
      </w:pPr>
      <w:r>
        <w:rPr>
          <w:lang w:val="ru_RU" w:bidi="ru_RU"/>
        </w:rPr>
        <w:t>Цель</w:t>
      </w:r>
    </w:p>
    <w:p>
      <w:pPr/>
      <w:r>
        <w:rPr>
          <w:lang w:val="ru_RU" w:bidi="ru_RU"/>
        </w:rPr>
      </w:r>
      <w:r>
        <w:rPr>
          <w:lang w:val="ru_RU" w:bidi="ru_RU"/>
        </w:rPr>
        <w:t>Объявить о грядущем Божьем суде над Ниневией, ассирийской столицей, и тем самым дать надежду народу Иудеи.</w:t>
      </w:r>
    </w:p>
    <w:p>
      <w:pPr>
        <w:pStyle w:val="Heading3"/>
      </w:pPr>
      <w:r>
        <w:rPr>
          <w:lang w:val="ru_RU" w:bidi="ru_RU"/>
        </w:rPr>
        <w:t>Автор</w:t>
      </w:r>
    </w:p>
    <w:p>
      <w:pPr/>
      <w:r>
        <w:rPr>
          <w:lang w:val="ru_RU" w:bidi="ru_RU"/>
        </w:rPr>
      </w:r>
      <w:r>
        <w:rPr>
          <w:lang w:val="ru_RU" w:bidi="ru_RU"/>
        </w:rPr>
        <w:t>Наум</w:t>
      </w:r>
    </w:p>
    <w:p>
      <w:pPr>
        <w:pStyle w:val="Heading3"/>
      </w:pPr>
      <w:r>
        <w:rPr>
          <w:lang w:val="ru_RU" w:bidi="ru_RU"/>
        </w:rPr>
        <w:t>Дата</w:t>
      </w:r>
    </w:p>
    <w:p>
      <w:pPr/>
      <w:r>
        <w:rPr>
          <w:lang w:val="ru_RU" w:bidi="ru_RU"/>
        </w:rPr>
      </w:r>
      <w:r>
        <w:rPr>
          <w:lang w:val="ru_RU" w:bidi="ru_RU"/>
        </w:rPr>
        <w:t>Где-то между 663 и 612 гг. до Р.Х.</w:t>
      </w:r>
    </w:p>
    <w:p>
      <w:pPr>
        <w:pStyle w:val="Heading3"/>
      </w:pPr>
      <w:r>
        <w:rPr>
          <w:lang w:val="ru_RU" w:bidi="ru_RU"/>
        </w:rPr>
        <w:t>Контекст</w:t>
      </w:r>
    </w:p>
    <w:p>
      <w:pPr/>
      <w:r>
        <w:rPr>
          <w:lang w:val="ru_RU" w:bidi="ru_RU"/>
        </w:rPr>
      </w:r>
      <w:r>
        <w:rPr>
          <w:lang w:val="ru_RU" w:bidi="ru_RU"/>
        </w:rPr>
        <w:t>Ассирийская империя завоевала Северное Израильское царство, и теперь та же участь грозила Южному Иудейскому царству.</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