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Salmos</w:t>
      </w:r>
      <w:r>
        <w:rPr>
          <w:lang w:val="es_ES" w:bidi="es_ES"/>
        </w:rPr>
      </w:r>
    </w:p>
    <w:p>
      <w:pPr/>
      <w:r>
        <w:rPr>
          <w:lang w:val="es_ES" w:bidi="es_ES"/>
        </w:rPr>
      </w:r>
      <w:r>
        <w:rPr>
          <w:lang w:val="es_ES" w:bidi="es_ES"/>
        </w:rPr>
        <w:t>El Libro de los Salmos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Ofrecer alabanza y oración a Dios</w:t>
      </w:r>
    </w:p>
    <w:p>
      <w:pPr>
        <w:pStyle w:val="ListNumber"/>
        <w:spacing w:line="240" w:lineRule="auto"/>
        <w:ind w:left="720"/>
      </w:pPr>
      <w:r>
        <w:rPr>
          <w:lang w:val="es_ES" w:bidi="es_ES"/>
        </w:rPr>
      </w:r>
      <w:r>
        <w:rPr>
          <w:lang w:val="es_ES" w:bidi="es_ES"/>
        </w:rPr>
        <w:t>Proveer a la gente de Dios textos para la adoración</w:t>
      </w:r>
    </w:p>
    <w:p>
      <w:pPr>
        <w:pStyle w:val="ListNumber"/>
        <w:spacing w:line="240" w:lineRule="auto"/>
        <w:ind w:left="720"/>
      </w:pPr>
      <w:r>
        <w:rPr>
          <w:lang w:val="es_ES" w:bidi="es_ES"/>
        </w:rPr>
      </w:r>
      <w:r>
        <w:rPr>
          <w:lang w:val="es_ES" w:bidi="es_ES"/>
        </w:rPr>
        <w:t>Reflexionar sobre la soberanía de Dios (el poder y la autoridad para gobernar) y algunas de las preguntas más difíciles de la vida</w:t>
      </w:r>
    </w:p>
    <w:p>
      <w:pPr>
        <w:pStyle w:val="Heading3"/>
      </w:pPr>
      <w:r>
        <w:rPr>
          <w:lang w:val="es_ES" w:bidi="es_ES"/>
        </w:rPr>
        <w:t>Autor</w:t>
      </w:r>
    </w:p>
    <w:p>
      <w:pPr/>
      <w:r>
        <w:rPr>
          <w:lang w:val="es_ES" w:bidi="es_ES"/>
        </w:rPr>
      </w:r>
      <w:r>
        <w:rPr>
          <w:lang w:val="es_ES" w:bidi="es_ES"/>
        </w:rPr>
        <w:t>Varios; casi la mitad están vinculados con David</w:t>
      </w:r>
    </w:p>
    <w:p>
      <w:pPr>
        <w:pStyle w:val="Heading3"/>
      </w:pPr>
      <w:r>
        <w:rPr>
          <w:lang w:val="es_ES" w:bidi="es_ES"/>
        </w:rPr>
        <w:t>Fecha</w:t>
      </w:r>
    </w:p>
    <w:p>
      <w:pPr/>
      <w:r>
        <w:rPr>
          <w:lang w:val="es_ES" w:bidi="es_ES"/>
        </w:rPr>
      </w:r>
      <w:r>
        <w:rPr>
          <w:lang w:val="es_ES" w:bidi="es_ES"/>
        </w:rPr>
        <w:t>Escrito durante muchos siglos. El proceso de recopilación y edición probablemente se completó después del exilio babilónico</w:t>
      </w:r>
    </w:p>
    <w:p>
      <w:pPr>
        <w:pStyle w:val="Heading3"/>
      </w:pPr>
      <w:r>
        <w:rPr>
          <w:lang w:val="es_ES" w:bidi="es_ES"/>
        </w:rPr>
        <w:t>Contexto</w:t>
      </w:r>
    </w:p>
    <w:p>
      <w:pPr/>
      <w:r>
        <w:rPr>
          <w:lang w:val="es_ES" w:bidi="es_ES"/>
        </w:rPr>
      </w:r>
      <w:r>
        <w:rPr>
          <w:lang w:val="es_ES" w:bidi="es_ES"/>
        </w:rPr>
        <w:t>Variado, pero un contexto después del exilio babilónico explica gran parte de la actividad editorial y la agrupación de los salmos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