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MIC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Miqueas</w:t>
      </w:r>
      <w:r>
        <w:rPr>
          <w:lang w:val="es_ES" w:bidi="es_ES"/>
        </w:rPr>
      </w:r>
    </w:p>
    <w:p>
      <w:pPr/>
      <w:r>
        <w:rPr>
          <w:lang w:val="es_ES" w:bidi="es_ES"/>
        </w:rPr>
      </w:r>
      <w:r>
        <w:rPr>
          <w:lang w:val="es_ES" w:bidi="es_ES"/>
        </w:rPr>
        <w:t>El Libro de Miqueas</w:t>
      </w:r>
    </w:p>
    <w:p>
      <w:pPr>
        <w:pStyle w:val="Heading3"/>
      </w:pPr>
      <w:r>
        <w:rPr>
          <w:lang w:val="es_ES" w:bidi="es_ES"/>
        </w:rPr>
        <w:t>Propósito</w:t>
      </w:r>
    </w:p>
    <w:p>
      <w:pPr/>
      <w:r>
        <w:rPr>
          <w:lang w:val="es_ES" w:bidi="es_ES"/>
        </w:rPr>
      </w:r>
      <w:r>
        <w:rPr>
          <w:lang w:val="es_ES" w:bidi="es_ES"/>
        </w:rPr>
        <w:t>Proclamar juicio contra Samaria y Jerusalén, pero también ofrecer un fuerte mensaje de esperanza para el futuro de Israel</w:t>
      </w:r>
    </w:p>
    <w:p>
      <w:pPr>
        <w:pStyle w:val="Heading3"/>
      </w:pPr>
      <w:r>
        <w:rPr>
          <w:lang w:val="es_ES" w:bidi="es_ES"/>
        </w:rPr>
        <w:t>Autor</w:t>
      </w:r>
    </w:p>
    <w:p>
      <w:pPr/>
      <w:r>
        <w:rPr>
          <w:lang w:val="es_ES" w:bidi="es_ES"/>
        </w:rPr>
      </w:r>
      <w:r>
        <w:rPr>
          <w:lang w:val="es_ES" w:bidi="es_ES"/>
        </w:rPr>
        <w:t>Miqueas</w:t>
      </w:r>
    </w:p>
    <w:p>
      <w:pPr>
        <w:pStyle w:val="Heading3"/>
      </w:pPr>
      <w:r>
        <w:rPr>
          <w:lang w:val="es_ES" w:bidi="es_ES"/>
        </w:rPr>
        <w:t>Fecha</w:t>
      </w:r>
    </w:p>
    <w:p>
      <w:pPr/>
      <w:r>
        <w:rPr>
          <w:lang w:val="es_ES" w:bidi="es_ES"/>
        </w:rPr>
      </w:r>
      <w:r>
        <w:rPr>
          <w:lang w:val="es_ES" w:bidi="es_ES"/>
        </w:rPr>
        <w:t>Alrededor de 735–686 a.C.</w:t>
      </w:r>
    </w:p>
    <w:p>
      <w:pPr>
        <w:pStyle w:val="Heading3"/>
      </w:pPr>
      <w:r>
        <w:rPr>
          <w:lang w:val="es_ES" w:bidi="es_ES"/>
        </w:rPr>
        <w:t>Contexto</w:t>
      </w:r>
    </w:p>
    <w:p>
      <w:pPr/>
      <w:r>
        <w:rPr>
          <w:lang w:val="es_ES" w:bidi="es_ES"/>
        </w:rPr>
      </w:r>
      <w:r>
        <w:rPr>
          <w:lang w:val="es_ES" w:bidi="es_ES"/>
        </w:rPr>
        <w:t>El reino del norte de Israel poco tiempo antes de su destrucción y el reino del sur de Judá durante los reinados de Jotam, Acaz y Ezequías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