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Samweli</w:t>
      </w:r>
      <w:r>
        <w:rPr>
          <w:lang w:val="sw_KE" w:bidi="sw_KE"/>
        </w:rPr>
      </w:r>
    </w:p>
    <w:p>
      <w:pPr/>
      <w:r>
        <w:rPr>
          <w:lang w:val="sw_KE" w:bidi="sw_KE"/>
        </w:rPr>
      </w:r>
      <w:r>
        <w:rPr>
          <w:lang w:val="sw_KE" w:bidi="sw_KE"/>
        </w:rPr>
        <w:t>Kitabu cha Samweli wa Kwanza</w:t>
      </w:r>
    </w:p>
    <w:p>
      <w:pPr>
        <w:pStyle w:val="Heading3"/>
      </w:pPr>
      <w:r>
        <w:rPr>
          <w:lang w:val="sw_KE" w:bidi="sw_KE"/>
        </w:rPr>
        <w:t>Kusudi</w:t>
      </w:r>
    </w:p>
    <w:p>
      <w:pPr/>
      <w:r>
        <w:rPr>
          <w:lang w:val="sw_KE" w:bidi="sw_KE"/>
        </w:rPr>
      </w:r>
      <w:r>
        <w:rPr>
          <w:lang w:val="sw_KE" w:bidi="sw_KE"/>
        </w:rPr>
        <w:t>Kusimulia kuanzishwa kwa ufalme wa Israeli na kuangazia tabia zilizotofautiana za wafalme wawili wa kwanza wa Israeli</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Kinarekodi matukio ambayo yalitokea takriban mnamo 1050–1011 KK</w:t>
      </w:r>
    </w:p>
    <w:p>
      <w:pPr>
        <w:pStyle w:val="Heading3"/>
      </w:pPr>
      <w:r>
        <w:rPr>
          <w:lang w:val="sw_KE" w:bidi="sw_KE"/>
        </w:rPr>
        <w:t>Muktadha</w:t>
      </w:r>
    </w:p>
    <w:p>
      <w:pPr/>
      <w:r>
        <w:rPr>
          <w:lang w:val="sw_KE" w:bidi="sw_KE"/>
        </w:rPr>
      </w:r>
      <w:r>
        <w:rPr>
          <w:lang w:val="sw_KE" w:bidi="sw_KE"/>
        </w:rPr>
        <w:t>Kipindi cha mpito kutoka enzi ya waamuzi hadi wakati wa kuanzishwa kwa ufalme wa Israeli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