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列王紀上</w:t>
      </w:r>
      <w:r>
        <w:rPr>
          <w:lang w:val="zh_TW" w:bidi="zh_TW"/>
        </w:rPr>
      </w:r>
    </w:p>
    <w:p>
      <w:pPr/>
      <w:r>
        <w:rPr>
          <w:lang w:val="zh_TW" w:bidi="zh_TW"/>
        </w:rPr>
      </w:r>
      <w:r>
        <w:rPr>
          <w:lang w:val="zh_TW" w:bidi="zh_TW"/>
        </w:rPr>
        <w:t>列王記上</w:t>
      </w:r>
    </w:p>
    <w:p>
      <w:pPr>
        <w:pStyle w:val="Heading3"/>
      </w:pPr>
      <w:r>
        <w:rPr>
          <w:lang w:val="zh_TW" w:bidi="zh_TW"/>
        </w:rPr>
        <w:t>寫作目的</w:t>
      </w:r>
    </w:p>
    <w:p>
      <w:pPr/>
      <w:r>
        <w:rPr>
          <w:lang w:val="zh_TW" w:bidi="zh_TW"/>
        </w:rPr>
      </w:r>
      <w:r>
        <w:rPr>
          <w:lang w:val="zh_TW" w:bidi="zh_TW"/>
        </w:rPr>
        <w:t>描繪所羅門治理時的榮華、王國的分裂和以色列的敗壞</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記錄發生在公元前973–853年的事件</w:t>
      </w:r>
    </w:p>
    <w:p>
      <w:pPr>
        <w:pStyle w:val="Heading3"/>
      </w:pPr>
      <w:r>
        <w:rPr>
          <w:lang w:val="zh_TW" w:bidi="zh_TW"/>
        </w:rPr>
        <w:t>背景</w:t>
      </w:r>
    </w:p>
    <w:p>
      <w:pPr/>
      <w:r>
        <w:rPr>
          <w:lang w:val="zh_TW" w:bidi="zh_TW"/>
        </w:rPr>
      </w:r>
      <w:r>
        <w:rPr>
          <w:lang w:val="zh_TW" w:bidi="zh_TW"/>
        </w:rPr>
        <w:t>從以色列王國的鼎盛時期（所羅門王的統治）開始，到以色列王國分裂以及以色列王國的低谷時期（亞哈王的統治）結束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