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但以理</w:t>
      </w:r>
      <w:r>
        <w:rPr>
          <w:lang w:val="zh_TW" w:bidi="zh_TW"/>
        </w:rPr>
      </w:r>
    </w:p>
    <w:p>
      <w:pPr/>
      <w:r>
        <w:rPr>
          <w:lang w:val="zh_TW" w:bidi="zh_TW"/>
        </w:rPr>
      </w:r>
      <w:r>
        <w:rPr>
          <w:lang w:val="zh_TW" w:bidi="zh_TW"/>
        </w:rPr>
        <w:t>但以理書</w:t>
      </w:r>
    </w:p>
    <w:p>
      <w:pPr>
        <w:pStyle w:val="Heading3"/>
      </w:pPr>
      <w:r>
        <w:rPr>
          <w:lang w:val="zh_TW" w:bidi="zh_TW"/>
        </w:rPr>
        <w:t>寫作目的</w:t>
      </w:r>
    </w:p>
    <w:p>
      <w:pPr/>
      <w:r>
        <w:rPr>
          <w:lang w:val="zh_TW" w:bidi="zh_TW"/>
        </w:rPr>
      </w:r>
      <w:r>
        <w:rPr>
          <w:lang w:val="zh_TW" w:bidi="zh_TW"/>
        </w:rPr>
        <w:t>展示神對一切事物的主權，包含那些對祂漠不關心或對祂懷抱敵意的力量。</w:t>
      </w:r>
    </w:p>
    <w:p>
      <w:pPr>
        <w:pStyle w:val="Heading3"/>
      </w:pPr>
      <w:r>
        <w:rPr>
          <w:lang w:val="zh_TW" w:bidi="zh_TW"/>
        </w:rPr>
        <w:t>作者</w:t>
      </w:r>
    </w:p>
    <w:p>
      <w:pPr/>
      <w:r>
        <w:rPr>
          <w:lang w:val="zh_TW" w:bidi="zh_TW"/>
        </w:rPr>
      </w:r>
      <w:r>
        <w:rPr>
          <w:lang w:val="zh_TW" w:bidi="zh_TW"/>
        </w:rPr>
        <w:t>但以理</w:t>
      </w:r>
    </w:p>
    <w:p>
      <w:pPr>
        <w:pStyle w:val="Heading3"/>
      </w:pPr>
      <w:r>
        <w:rPr>
          <w:lang w:val="zh_TW" w:bidi="zh_TW"/>
        </w:rPr>
        <w:t>日期</w:t>
      </w:r>
    </w:p>
    <w:p>
      <w:pPr/>
      <w:r>
        <w:rPr>
          <w:lang w:val="zh_TW" w:bidi="zh_TW"/>
        </w:rPr>
      </w:r>
      <w:r>
        <w:rPr>
          <w:lang w:val="zh_TW" w:bidi="zh_TW"/>
        </w:rPr>
        <w:t>約公元前605–535年</w:t>
      </w:r>
    </w:p>
    <w:p>
      <w:pPr>
        <w:pStyle w:val="Heading3"/>
      </w:pPr>
      <w:r>
        <w:rPr>
          <w:lang w:val="zh_TW" w:bidi="zh_TW"/>
        </w:rPr>
        <w:t>背景</w:t>
      </w:r>
    </w:p>
    <w:p>
      <w:pPr/>
      <w:r>
        <w:rPr>
          <w:lang w:val="zh_TW" w:bidi="zh_TW"/>
        </w:rPr>
      </w:r>
      <w:r>
        <w:rPr>
          <w:lang w:val="zh_TW" w:bidi="zh_TW"/>
        </w:rPr>
        <w:t>巴比倫，從猶大第一批被擄潮的開始，到塞魯士下詔書允許猶太人返回家園時結束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