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التكوين</w:t>
      </w:r>
      <w:r>
        <w:rPr>
          <w:rtl/>
          <w:cs/>
          <w:lang w:val="ar_AE" w:bidi="ar_AE"/>
        </w:rPr>
      </w:r>
    </w:p>
    <w:p>
      <w:pPr>
        <w:bidi/>
      </w:pPr>
      <w:r>
        <w:rPr>
          <w:rtl/>
          <w:cs/>
          <w:lang w:val="ar_AE" w:bidi="ar_AE"/>
        </w:rPr>
      </w:r>
      <w:r>
        <w:rPr>
          <w:rtl/>
          <w:cs/>
          <w:lang w:val="ar_AE" w:bidi="ar_AE"/>
        </w:rPr>
        <w:t>سِفر التكوين</w:t>
      </w:r>
    </w:p>
    <w:p>
      <w:pPr>
        <w:pStyle w:val="Heading3"/>
        <w:bidi/>
      </w:pPr>
      <w:r>
        <w:rPr>
          <w:rtl/>
          <w:cs/>
          <w:lang w:val="ar_AE" w:bidi="ar_AE"/>
        </w:rPr>
        <w:t>الهدف</w:t>
      </w:r>
    </w:p>
    <w:p>
      <w:pPr>
        <w:bidi/>
      </w:pPr>
      <w:r>
        <w:rPr>
          <w:rtl/>
          <w:cs/>
          <w:lang w:val="ar_AE" w:bidi="ar_AE"/>
        </w:rPr>
      </w:r>
      <w:r>
        <w:rPr>
          <w:rtl/>
          <w:cs/>
          <w:lang w:val="ar_AE" w:bidi="ar_AE"/>
        </w:rPr>
        <w:t>تتبع تأسيس خطة الله لإماتة الخطيَّة عبْر شعبه المختار، إسرائيل</w:t>
      </w:r>
    </w:p>
    <w:p>
      <w:pPr>
        <w:pStyle w:val="Heading3"/>
        <w:bidi/>
      </w:pPr>
      <w:r>
        <w:rPr>
          <w:rtl/>
          <w:cs/>
          <w:lang w:val="ar_AE" w:bidi="ar_AE"/>
        </w:rPr>
        <w:t>الكاتب</w:t>
      </w:r>
    </w:p>
    <w:p>
      <w:pPr>
        <w:bidi/>
      </w:pPr>
      <w:r>
        <w:rPr>
          <w:rtl/>
          <w:cs/>
          <w:lang w:val="ar_AE" w:bidi="ar_AE"/>
        </w:rPr>
      </w:r>
      <w:r>
        <w:rPr>
          <w:rtl/>
          <w:cs/>
          <w:lang w:val="ar_AE" w:bidi="ar_AE"/>
        </w:rPr>
        <w:t>موسى، بحسب التقليد</w:t>
      </w:r>
    </w:p>
    <w:p>
      <w:pPr>
        <w:pStyle w:val="Heading3"/>
        <w:bidi/>
      </w:pPr>
      <w:r>
        <w:rPr>
          <w:rtl/>
          <w:cs/>
          <w:lang w:val="ar_AE" w:bidi="ar_AE"/>
        </w:rPr>
        <w:t>الزمن</w:t>
      </w:r>
    </w:p>
    <w:p>
      <w:pPr>
        <w:bidi/>
      </w:pPr>
      <w:r>
        <w:rPr>
          <w:rtl/>
          <w:cs/>
          <w:lang w:val="ar_AE" w:bidi="ar_AE"/>
        </w:rPr>
      </w:r>
      <w:r>
        <w:rPr>
          <w:rtl/>
          <w:cs/>
          <w:lang w:val="ar_AE" w:bidi="ar_AE"/>
        </w:rPr>
        <w:t>يسجل الأحداث وأحداث البداءات من فترة الآباء الأوائل (نحو 2100–1700 قبل الميلاد)</w:t>
      </w:r>
    </w:p>
    <w:p>
      <w:pPr>
        <w:pStyle w:val="Heading3"/>
        <w:bidi/>
      </w:pPr>
      <w:r>
        <w:rPr>
          <w:rtl/>
          <w:cs/>
          <w:lang w:val="ar_AE" w:bidi="ar_AE"/>
        </w:rPr>
        <w:t>السياق</w:t>
      </w:r>
    </w:p>
    <w:p>
      <w:pPr>
        <w:bidi/>
      </w:pPr>
      <w:r>
        <w:rPr>
          <w:rtl/>
          <w:cs/>
          <w:lang w:val="ar_AE" w:bidi="ar_AE"/>
        </w:rPr>
      </w:r>
      <w:r>
        <w:rPr>
          <w:rtl/>
          <w:cs/>
          <w:lang w:val="ar_AE" w:bidi="ar_AE"/>
        </w:rPr>
        <w:t>أماكن متعددة في الشرق الأوسط، تركِّز أساسًا على الآباء الأوائل خلال فترة وجودهم في أرض كنعان ومصر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