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EXO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الخروج</w:t>
      </w:r>
      <w:r>
        <w:rPr>
          <w:rtl/>
          <w:cs/>
          <w:lang w:val="ar_AE" w:bidi="ar_AE"/>
        </w:rPr>
      </w:r>
    </w:p>
    <w:p>
      <w:pPr>
        <w:bidi/>
      </w:pPr>
      <w:r>
        <w:rPr>
          <w:rtl/>
          <w:cs/>
          <w:lang w:val="ar_AE" w:bidi="ar_AE"/>
        </w:rPr>
      </w:r>
      <w:r>
        <w:rPr>
          <w:rtl/>
          <w:cs/>
          <w:lang w:val="ar_AE" w:bidi="ar_AE"/>
        </w:rPr>
        <w:t>سِفر الخروج</w:t>
      </w:r>
    </w:p>
    <w:p>
      <w:pPr>
        <w:pStyle w:val="Heading3"/>
        <w:bidi/>
      </w:pPr>
      <w:r>
        <w:rPr>
          <w:rtl/>
          <w:cs/>
          <w:lang w:val="ar_AE" w:bidi="ar_AE"/>
        </w:rPr>
        <w:t>الهدف</w:t>
      </w:r>
    </w:p>
    <w:p>
      <w:pPr>
        <w:bidi/>
      </w:pPr>
      <w:r>
        <w:rPr>
          <w:rtl/>
          <w:cs/>
          <w:lang w:val="ar_AE" w:bidi="ar_AE"/>
        </w:rPr>
      </w:r>
      <w:r>
        <w:rPr>
          <w:rtl/>
          <w:cs/>
          <w:lang w:val="ar_AE" w:bidi="ar_AE"/>
        </w:rPr>
        <w:t>إعادة سرد إنقاذ العبرانيين من مصر، وتأسيس العهد مع الله وممارسات عبادتهم</w:t>
      </w:r>
    </w:p>
    <w:p>
      <w:pPr>
        <w:pStyle w:val="Heading3"/>
        <w:bidi/>
      </w:pPr>
      <w:r>
        <w:rPr>
          <w:rtl/>
          <w:cs/>
          <w:lang w:val="ar_AE" w:bidi="ar_AE"/>
        </w:rPr>
        <w:t>الكاتب</w:t>
      </w:r>
    </w:p>
    <w:p>
      <w:pPr>
        <w:bidi/>
      </w:pPr>
      <w:r>
        <w:rPr>
          <w:rtl/>
          <w:cs/>
          <w:lang w:val="ar_AE" w:bidi="ar_AE"/>
        </w:rPr>
      </w:r>
      <w:r>
        <w:rPr>
          <w:rtl/>
          <w:cs/>
          <w:lang w:val="ar_AE" w:bidi="ar_AE"/>
        </w:rPr>
        <w:t>موسى، بحسب التقليد</w:t>
      </w:r>
    </w:p>
    <w:p>
      <w:pPr>
        <w:pStyle w:val="Heading3"/>
        <w:bidi/>
      </w:pPr>
      <w:r>
        <w:rPr>
          <w:rtl/>
          <w:cs/>
          <w:lang w:val="ar_AE" w:bidi="ar_AE"/>
        </w:rPr>
        <w:t>الزمن</w:t>
      </w:r>
    </w:p>
    <w:p>
      <w:pPr>
        <w:bidi/>
      </w:pPr>
      <w:r>
        <w:rPr>
          <w:rtl/>
          <w:cs/>
          <w:lang w:val="ar_AE" w:bidi="ar_AE"/>
        </w:rPr>
      </w:r>
      <w:r>
        <w:rPr>
          <w:rtl/>
          <w:cs/>
          <w:lang w:val="ar_AE" w:bidi="ar_AE"/>
        </w:rPr>
        <w:t>يسجِّل الأحداث التي حدثتْ على الأرجح في الفترة من 1526 إلى 1446 قبل الميلاد أو 1350–1270 قبل الميلاد</w:t>
      </w:r>
    </w:p>
    <w:p>
      <w:pPr>
        <w:pStyle w:val="Heading3"/>
        <w:bidi/>
      </w:pPr>
      <w:r>
        <w:rPr>
          <w:rtl/>
          <w:cs/>
          <w:lang w:val="ar_AE" w:bidi="ar_AE"/>
        </w:rPr>
        <w:t>السياق</w:t>
      </w:r>
    </w:p>
    <w:p>
      <w:pPr>
        <w:bidi/>
      </w:pPr>
      <w:r>
        <w:rPr>
          <w:rtl/>
          <w:cs/>
          <w:lang w:val="ar_AE" w:bidi="ar_AE"/>
        </w:rPr>
      </w:r>
      <w:r>
        <w:rPr>
          <w:rtl/>
          <w:cs/>
          <w:lang w:val="ar_AE" w:bidi="ar_AE"/>
        </w:rPr>
        <w:t>يبدأ مع عبوديَّة العبرانيين في مصر، وينتهي بشعب عهد الله في طريقه إلى أرض الميعاد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