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PRO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الأمثال</w:t>
      </w:r>
      <w:r>
        <w:rPr>
          <w:rtl/>
          <w:cs/>
          <w:lang w:val="ar_AE" w:bidi="ar_AE"/>
        </w:rPr>
      </w:r>
    </w:p>
    <w:p>
      <w:pPr>
        <w:bidi/>
      </w:pPr>
      <w:r>
        <w:rPr>
          <w:rtl/>
          <w:cs/>
          <w:lang w:val="ar_AE" w:bidi="ar_AE"/>
        </w:rPr>
      </w:r>
      <w:r>
        <w:rPr>
          <w:rtl/>
          <w:cs/>
          <w:lang w:val="ar_AE" w:bidi="ar_AE"/>
        </w:rPr>
        <w:t>سِفر الأمثال</w:t>
      </w:r>
    </w:p>
    <w:p>
      <w:pPr>
        <w:pStyle w:val="Heading3"/>
        <w:bidi/>
      </w:pPr>
      <w:r>
        <w:rPr>
          <w:rtl/>
          <w:cs/>
          <w:lang w:val="ar_AE" w:bidi="ar_AE"/>
        </w:rPr>
        <w:t>الهدف</w:t>
      </w:r>
    </w:p>
    <w:p>
      <w:pPr>
        <w:bidi/>
      </w:pPr>
      <w:r>
        <w:rPr>
          <w:rtl/>
          <w:cs/>
          <w:lang w:val="ar_AE" w:bidi="ar_AE"/>
        </w:rPr>
      </w:r>
      <w:r>
        <w:rPr>
          <w:rtl/>
          <w:cs/>
          <w:lang w:val="ar_AE" w:bidi="ar_AE"/>
        </w:rPr>
        <w:t>تقديم الحكمة العملية لاتخاذ القرارات وتنظيم الحياة</w:t>
      </w:r>
    </w:p>
    <w:p>
      <w:pPr>
        <w:pStyle w:val="Heading3"/>
        <w:bidi/>
      </w:pPr>
      <w:r>
        <w:rPr>
          <w:rtl/>
          <w:cs/>
          <w:lang w:val="ar_AE" w:bidi="ar_AE"/>
        </w:rPr>
        <w:t>الكاتب</w:t>
      </w:r>
    </w:p>
    <w:p>
      <w:pPr>
        <w:bidi/>
      </w:pPr>
      <w:r>
        <w:rPr>
          <w:rtl/>
          <w:cs/>
          <w:lang w:val="ar_AE" w:bidi="ar_AE"/>
        </w:rPr>
      </w:r>
      <w:r>
        <w:rPr>
          <w:rtl/>
          <w:cs/>
          <w:lang w:val="ar_AE" w:bidi="ar_AE"/>
        </w:rPr>
        <w:t>متنوع؛ وكثيرٌ منها يُنسب إلى سليمان</w:t>
      </w:r>
    </w:p>
    <w:p>
      <w:pPr>
        <w:pStyle w:val="Heading3"/>
        <w:bidi/>
      </w:pPr>
      <w:r>
        <w:rPr>
          <w:rtl/>
          <w:cs/>
          <w:lang w:val="ar_AE" w:bidi="ar_AE"/>
        </w:rPr>
        <w:t>الزمن</w:t>
      </w:r>
    </w:p>
    <w:p>
      <w:pPr>
        <w:bidi/>
      </w:pPr>
      <w:r>
        <w:rPr>
          <w:rtl/>
          <w:cs/>
          <w:lang w:val="ar_AE" w:bidi="ar_AE"/>
        </w:rPr>
      </w:r>
      <w:r>
        <w:rPr>
          <w:rtl/>
          <w:cs/>
          <w:lang w:val="ar_AE" w:bidi="ar_AE"/>
        </w:rPr>
        <w:t>كُتِبَ وجُمِعَ على مدار قرون عدة، بدءًا من حكم سليمان (971–931 قبل الميلاد) واستمر حتى عهد حزقيا في الأقل (728–686 قبل الميلاد)</w:t>
      </w:r>
    </w:p>
    <w:p>
      <w:pPr>
        <w:pStyle w:val="Heading3"/>
        <w:bidi/>
      </w:pPr>
      <w:r>
        <w:rPr>
          <w:rtl/>
          <w:cs/>
          <w:lang w:val="ar_AE" w:bidi="ar_AE"/>
        </w:rPr>
        <w:t>السياق</w:t>
      </w:r>
    </w:p>
    <w:p>
      <w:pPr>
        <w:bidi/>
      </w:pPr>
      <w:r>
        <w:rPr>
          <w:rtl/>
          <w:cs/>
          <w:lang w:val="ar_AE" w:bidi="ar_AE"/>
        </w:rPr>
      </w:r>
      <w:r>
        <w:rPr>
          <w:rtl/>
          <w:cs/>
          <w:lang w:val="ar_AE" w:bidi="ar_AE"/>
        </w:rPr>
        <w:t>ثمة جزء موجَّه لشاب؛ وتشير الأجزاء الأخرى إلى سياقات متنوعة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