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DAN</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دانيال</w:t>
      </w:r>
      <w:r>
        <w:rPr>
          <w:rtl/>
          <w:cs/>
          <w:lang w:val="ar_AE" w:bidi="ar_AE"/>
        </w:rPr>
      </w:r>
    </w:p>
    <w:p>
      <w:pPr>
        <w:bidi/>
      </w:pPr>
      <w:r>
        <w:rPr>
          <w:rtl/>
          <w:cs/>
          <w:lang w:val="ar_AE" w:bidi="ar_AE"/>
        </w:rPr>
      </w:r>
      <w:r>
        <w:rPr>
          <w:rtl/>
          <w:cs/>
          <w:lang w:val="ar_AE" w:bidi="ar_AE"/>
        </w:rPr>
        <w:t>سِفر دانيال</w:t>
      </w:r>
    </w:p>
    <w:p>
      <w:pPr>
        <w:pStyle w:val="Heading3"/>
        <w:bidi/>
      </w:pPr>
      <w:r>
        <w:rPr>
          <w:rtl/>
          <w:cs/>
          <w:lang w:val="ar_AE" w:bidi="ar_AE"/>
        </w:rPr>
        <w:t>الهدف</w:t>
      </w:r>
    </w:p>
    <w:p>
      <w:pPr>
        <w:bidi/>
      </w:pPr>
      <w:r>
        <w:rPr>
          <w:rtl/>
          <w:cs/>
          <w:lang w:val="ar_AE" w:bidi="ar_AE"/>
        </w:rPr>
      </w:r>
      <w:r>
        <w:rPr>
          <w:rtl/>
          <w:cs/>
          <w:lang w:val="ar_AE" w:bidi="ar_AE"/>
        </w:rPr>
        <w:t>إظهار سيادة الله على الجميع، بما في ذلك القوى غير المبالية أو المعادية له</w:t>
      </w:r>
    </w:p>
    <w:p>
      <w:pPr>
        <w:pStyle w:val="Heading3"/>
        <w:bidi/>
      </w:pPr>
      <w:r>
        <w:rPr>
          <w:rtl/>
          <w:cs/>
          <w:lang w:val="ar_AE" w:bidi="ar_AE"/>
        </w:rPr>
        <w:t>الكاتب</w:t>
      </w:r>
    </w:p>
    <w:p>
      <w:pPr>
        <w:bidi/>
      </w:pPr>
      <w:r>
        <w:rPr>
          <w:rtl/>
          <w:cs/>
          <w:lang w:val="ar_AE" w:bidi="ar_AE"/>
        </w:rPr>
      </w:r>
      <w:r>
        <w:rPr>
          <w:rtl/>
          <w:cs/>
          <w:lang w:val="ar_AE" w:bidi="ar_AE"/>
        </w:rPr>
        <w:t>على الأرجح دانيال</w:t>
      </w:r>
    </w:p>
    <w:p>
      <w:pPr>
        <w:pStyle w:val="Heading3"/>
        <w:bidi/>
      </w:pPr>
      <w:r>
        <w:rPr>
          <w:rtl/>
          <w:cs/>
          <w:lang w:val="ar_AE" w:bidi="ar_AE"/>
        </w:rPr>
        <w:t>الزمن</w:t>
      </w:r>
    </w:p>
    <w:p>
      <w:pPr>
        <w:bidi/>
      </w:pPr>
      <w:r>
        <w:rPr>
          <w:rtl/>
          <w:cs/>
          <w:lang w:val="ar_AE" w:bidi="ar_AE"/>
        </w:rPr>
      </w:r>
      <w:r>
        <w:rPr>
          <w:rtl/>
          <w:cs/>
          <w:lang w:val="ar_AE" w:bidi="ar_AE"/>
        </w:rPr>
        <w:t>نحو 605–535 قبل الميلاد</w:t>
      </w:r>
    </w:p>
    <w:p>
      <w:pPr>
        <w:pStyle w:val="Heading3"/>
        <w:bidi/>
      </w:pPr>
      <w:r>
        <w:rPr>
          <w:rtl/>
          <w:cs/>
          <w:lang w:val="ar_AE" w:bidi="ar_AE"/>
        </w:rPr>
        <w:t>السياق</w:t>
      </w:r>
    </w:p>
    <w:p>
      <w:pPr>
        <w:bidi/>
      </w:pPr>
      <w:r>
        <w:rPr>
          <w:rtl/>
          <w:cs/>
          <w:lang w:val="ar_AE" w:bidi="ar_AE"/>
        </w:rPr>
      </w:r>
      <w:r>
        <w:rPr>
          <w:rtl/>
          <w:cs/>
          <w:lang w:val="ar_AE" w:bidi="ar_AE"/>
        </w:rPr>
        <w:t>بابل، بدءًا من الموجة الأولى لسبي يهوذا ونهاية بحلول وقت صدور مرسوم كورش الذي يسمح لليهود بالعودة إلى وطنهم</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