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هوشع</w:t>
      </w:r>
      <w:r>
        <w:rPr>
          <w:rtl/>
          <w:cs/>
          <w:lang w:val="ar_AE" w:bidi="ar_AE"/>
        </w:rPr>
      </w:r>
    </w:p>
    <w:p>
      <w:pPr>
        <w:bidi/>
      </w:pPr>
      <w:r>
        <w:rPr>
          <w:rtl/>
          <w:cs/>
          <w:lang w:val="ar_AE" w:bidi="ar_AE"/>
        </w:rPr>
      </w:r>
      <w:r>
        <w:rPr>
          <w:rtl/>
          <w:cs/>
          <w:lang w:val="ar_AE" w:bidi="ar_AE"/>
        </w:rPr>
        <w:t>سِفر هوشع</w:t>
      </w:r>
    </w:p>
    <w:p>
      <w:pPr>
        <w:pStyle w:val="Heading3"/>
        <w:bidi/>
      </w:pPr>
      <w:r>
        <w:rPr>
          <w:rtl/>
          <w:cs/>
          <w:lang w:val="ar_AE" w:bidi="ar_AE"/>
        </w:rPr>
        <w:t>الهدف</w:t>
      </w:r>
    </w:p>
    <w:p>
      <w:pPr>
        <w:bidi/>
      </w:pPr>
      <w:r>
        <w:rPr>
          <w:rtl/>
          <w:cs/>
          <w:lang w:val="ar_AE" w:bidi="ar_AE"/>
        </w:rPr>
      </w:r>
      <w:r>
        <w:rPr>
          <w:rtl/>
          <w:cs/>
          <w:lang w:val="ar_AE" w:bidi="ar_AE"/>
        </w:rPr>
        <w:t>تصوير خيانة إسرائيل والدينونة التي تلت ذلك، وإظهار رغبة الله في شفاء شعبه واسترداده</w:t>
      </w:r>
    </w:p>
    <w:p>
      <w:pPr>
        <w:pStyle w:val="Heading3"/>
        <w:bidi/>
      </w:pPr>
      <w:r>
        <w:rPr>
          <w:rtl/>
          <w:cs/>
          <w:lang w:val="ar_AE" w:bidi="ar_AE"/>
        </w:rPr>
        <w:t>الكاتب</w:t>
      </w:r>
    </w:p>
    <w:p>
      <w:pPr>
        <w:bidi/>
      </w:pPr>
      <w:r>
        <w:rPr>
          <w:rtl/>
          <w:cs/>
          <w:lang w:val="ar_AE" w:bidi="ar_AE"/>
        </w:rPr>
      </w:r>
      <w:r>
        <w:rPr>
          <w:rtl/>
          <w:cs/>
          <w:lang w:val="ar_AE" w:bidi="ar_AE"/>
        </w:rPr>
        <w:t>سفر هوشع</w:t>
      </w:r>
    </w:p>
    <w:p>
      <w:pPr>
        <w:pStyle w:val="Heading3"/>
        <w:bidi/>
      </w:pPr>
      <w:r>
        <w:rPr>
          <w:rtl/>
          <w:cs/>
          <w:lang w:val="ar_AE" w:bidi="ar_AE"/>
        </w:rPr>
        <w:t>الزمن</w:t>
      </w:r>
    </w:p>
    <w:p>
      <w:pPr>
        <w:bidi/>
      </w:pPr>
      <w:r>
        <w:rPr>
          <w:rtl/>
          <w:cs/>
          <w:lang w:val="ar_AE" w:bidi="ar_AE"/>
        </w:rPr>
      </w:r>
      <w:r>
        <w:rPr>
          <w:rtl/>
          <w:cs/>
          <w:lang w:val="ar_AE" w:bidi="ar_AE"/>
        </w:rPr>
        <w:t>نحو 760–722 قبل الميلاد</w:t>
      </w:r>
    </w:p>
    <w:p>
      <w:pPr>
        <w:pStyle w:val="Heading3"/>
        <w:bidi/>
      </w:pPr>
      <w:r>
        <w:rPr>
          <w:rtl/>
          <w:cs/>
          <w:lang w:val="ar_AE" w:bidi="ar_AE"/>
        </w:rPr>
        <w:t>السياق</w:t>
      </w:r>
    </w:p>
    <w:p>
      <w:pPr>
        <w:bidi/>
      </w:pPr>
      <w:r>
        <w:rPr>
          <w:rtl/>
          <w:cs/>
          <w:lang w:val="ar_AE" w:bidi="ar_AE"/>
        </w:rPr>
      </w:r>
      <w:r>
        <w:rPr>
          <w:rtl/>
          <w:cs/>
          <w:lang w:val="ar_AE" w:bidi="ar_AE"/>
        </w:rPr>
        <w:t>مملكة إسرائيل الشمالية، في الأيام التي سبقت تدميرها على يد الآشوريين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