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Ruth</w:t>
      </w:r>
      <w:r>
        <w:rPr>
          <w:lang w:val="en_US" w:bidi="en_US"/>
        </w:rPr>
      </w:r>
    </w:p>
    <w:p>
      <w:pPr>
        <w:pStyle w:val="Heading3"/>
      </w:pPr>
      <w:r>
        <w:rPr>
          <w:lang w:val="en_US" w:bidi="en_US"/>
        </w:rPr>
        <w:t>Purpose</w:t>
      </w:r>
    </w:p>
    <w:p>
      <w:pPr/>
      <w:r>
        <w:rPr>
          <w:lang w:val="en_US" w:bidi="en_US"/>
        </w:rPr>
      </w:r>
      <w:r>
        <w:rPr>
          <w:lang w:val="en_US" w:bidi="en_US"/>
        </w:rPr>
        <w:t>To tell the inspiring story of Ruth and to trace the background of King David</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Records events that occurred around 1100 BC</w:t>
      </w:r>
    </w:p>
    <w:p>
      <w:pPr>
        <w:pStyle w:val="Heading3"/>
      </w:pPr>
      <w:r>
        <w:rPr>
          <w:lang w:val="en_US" w:bidi="en_US"/>
        </w:rPr>
        <w:t>Setting</w:t>
      </w:r>
    </w:p>
    <w:p>
      <w:pPr/>
      <w:r>
        <w:rPr>
          <w:lang w:val="en_US" w:bidi="en_US"/>
        </w:rPr>
      </w:r>
      <w:r>
        <w:rPr>
          <w:lang w:val="en_US" w:bidi="en_US"/>
        </w:rPr>
        <w:t>The period of the judges, during and immediately after a famine that had struck Bethlehem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