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 Summaries)</w:t>
      </w:r>
      <w:r>
        <w:rPr>
          <w:lang w:val="en_US" w:bidi="en_US"/>
        </w:rPr>
      </w:r>
    </w:p>
    <w:p>
      <w:pPr/>
      <w:r>
        <w:rPr>
          <w:lang w:val="en_US" w:bidi="en_US"/>
        </w:rPr>
      </w:r>
      <w:r>
        <w:rPr>
          <w:b/>
          <w:lang w:val="en_US" w:bidi="en_US"/>
        </w:rPr>
        <w:t>Aquifer Open Study Notes (Book Intro Summaries)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2SA</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Samuel</w:t>
      </w:r>
      <w:r>
        <w:rPr>
          <w:lang w:val="en_US" w:bidi="en_US"/>
        </w:rPr>
      </w:r>
    </w:p>
    <w:p>
      <w:pPr>
        <w:pStyle w:val="Heading3"/>
      </w:pPr>
      <w:r>
        <w:rPr>
          <w:lang w:val="en_US" w:bidi="en_US"/>
        </w:rPr>
        <w:t>Purpose</w:t>
      </w:r>
    </w:p>
    <w:p>
      <w:pPr>
        <w:pStyle w:val="ListNumber"/>
        <w:numPr>
          <w:ilvl w:val="0"/>
          <w:numId w:val="14"/>
        </w:numPr>
        <w:spacing w:line="240" w:lineRule="auto"/>
        <w:ind w:left="720"/>
      </w:pPr>
      <w:r>
        <w:rPr>
          <w:lang w:val="en_US" w:bidi="en_US"/>
        </w:rPr>
      </w:r>
      <w:r>
        <w:rPr>
          <w:lang w:val="en_US" w:bidi="en_US"/>
        </w:rPr>
        <w:t xml:space="preserve">To describe the reign of David </w:t>
      </w:r>
    </w:p>
    <w:p>
      <w:pPr>
        <w:pStyle w:val="ListNumber"/>
        <w:spacing w:line="240" w:lineRule="auto"/>
        <w:ind w:left="720"/>
      </w:pPr>
      <w:r>
        <w:rPr>
          <w:lang w:val="en_US" w:bidi="en_US"/>
        </w:rPr>
      </w:r>
      <w:r>
        <w:rPr>
          <w:lang w:val="en_US" w:bidi="en_US"/>
        </w:rPr>
        <w:t>To demonstrate God’s commitment to David’s line</w:t>
      </w:r>
    </w:p>
    <w:p>
      <w:pPr>
        <w:pStyle w:val="Heading3"/>
      </w:pPr>
      <w:r>
        <w:rPr>
          <w:lang w:val="en_US" w:bidi="en_US"/>
        </w:rPr>
        <w:t>Author</w:t>
      </w:r>
    </w:p>
    <w:p>
      <w:pPr/>
      <w:r>
        <w:rPr>
          <w:lang w:val="en_US" w:bidi="en_US"/>
        </w:rPr>
      </w:r>
      <w:r>
        <w:rPr>
          <w:lang w:val="en_US" w:bidi="en_US"/>
        </w:rPr>
        <w:t>Unknown</w:t>
      </w:r>
    </w:p>
    <w:p>
      <w:pPr>
        <w:pStyle w:val="Heading3"/>
      </w:pPr>
      <w:r>
        <w:rPr>
          <w:lang w:val="en_US" w:bidi="en_US"/>
        </w:rPr>
        <w:t>Date</w:t>
      </w:r>
    </w:p>
    <w:p>
      <w:pPr/>
      <w:r>
        <w:rPr>
          <w:lang w:val="en_US" w:bidi="en_US"/>
        </w:rPr>
      </w:r>
      <w:r>
        <w:rPr>
          <w:lang w:val="en_US" w:bidi="en_US"/>
        </w:rPr>
        <w:t>Records events that occurred around 1011–971 BC</w:t>
      </w:r>
    </w:p>
    <w:p>
      <w:pPr>
        <w:pStyle w:val="Heading3"/>
      </w:pPr>
      <w:r>
        <w:rPr>
          <w:lang w:val="en_US" w:bidi="en_US"/>
        </w:rPr>
        <w:t>Setting</w:t>
      </w:r>
    </w:p>
    <w:p>
      <w:pPr/>
      <w:r>
        <w:rPr>
          <w:lang w:val="en_US" w:bidi="en_US"/>
        </w:rPr>
      </w:r>
      <w:r>
        <w:rPr>
          <w:lang w:val="en_US" w:bidi="en_US"/>
        </w:rPr>
        <w:t>Following King Saul’s death, David sought to establish his throne over all Israel and to expand Israelite territory</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