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w:t>
      </w:r>
      <w:r>
        <w:rPr>
          <w:lang w:val="en_US" w:bidi="en_US"/>
        </w:rPr>
      </w:r>
    </w:p>
    <w:p>
      <w:pPr>
        <w:pStyle w:val="Heading3"/>
      </w:pPr>
      <w:r>
        <w:rPr>
          <w:lang w:val="en_US" w:bidi="en_US"/>
        </w:rPr>
        <w:t>Purpose</w:t>
      </w:r>
    </w:p>
    <w:p>
      <w:pPr/>
      <w:r>
        <w:rPr>
          <w:lang w:val="en_US" w:bidi="en_US"/>
        </w:rPr>
      </w:r>
      <w:r>
        <w:rPr>
          <w:lang w:val="en_US" w:bidi="en_US"/>
        </w:rPr>
        <w:t>To offer practical wisdom for making decisions and ordering life</w:t>
      </w:r>
    </w:p>
    <w:p>
      <w:pPr>
        <w:pStyle w:val="Heading3"/>
      </w:pPr>
      <w:r>
        <w:rPr>
          <w:lang w:val="en_US" w:bidi="en_US"/>
        </w:rPr>
        <w:t>Author</w:t>
      </w:r>
    </w:p>
    <w:p>
      <w:pPr/>
      <w:r>
        <w:rPr>
          <w:lang w:val="en_US" w:bidi="en_US"/>
        </w:rPr>
      </w:r>
      <w:r>
        <w:rPr>
          <w:lang w:val="en_US" w:bidi="en_US"/>
        </w:rPr>
        <w:t>Various; many are attributed to Solomon</w:t>
      </w:r>
    </w:p>
    <w:p>
      <w:pPr>
        <w:pStyle w:val="Heading3"/>
      </w:pPr>
      <w:r>
        <w:rPr>
          <w:lang w:val="en_US" w:bidi="en_US"/>
        </w:rPr>
        <w:t>Date</w:t>
      </w:r>
    </w:p>
    <w:p>
      <w:pPr/>
      <w:r>
        <w:rPr>
          <w:lang w:val="en_US" w:bidi="en_US"/>
        </w:rPr>
      </w:r>
      <w:r>
        <w:rPr>
          <w:lang w:val="en_US" w:bidi="en_US"/>
        </w:rPr>
        <w:t>Written and compiled over the course of several centuries, beginning during King Solomon’s reign (971–931 BC) and continuing until at least the reign of King Hezekiah (728–686 BC)</w:t>
      </w:r>
    </w:p>
    <w:p>
      <w:pPr>
        <w:pStyle w:val="Heading3"/>
      </w:pPr>
      <w:r>
        <w:rPr>
          <w:lang w:val="en_US" w:bidi="en_US"/>
        </w:rPr>
        <w:t>Setting</w:t>
      </w:r>
    </w:p>
    <w:p>
      <w:pPr/>
      <w:r>
        <w:rPr>
          <w:lang w:val="en_US" w:bidi="en_US"/>
        </w:rPr>
      </w:r>
      <w:r>
        <w:rPr>
          <w:lang w:val="en_US" w:bidi="en_US"/>
        </w:rPr>
        <w:t>Part is directed to a young man. Other parts hint at diverse settings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