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(Book Intro Summaries)</w:t>
      </w:r>
      <w:r>
        <w:rPr>
          <w:lang w:val="en_US" w:bidi="en_US"/>
        </w:rPr>
      </w:r>
    </w:p>
    <w:p>
      <w:pPr/>
      <w:r>
        <w:rPr>
          <w:lang w:val="en_US" w:bidi="en_US"/>
        </w:rPr>
      </w:r>
      <w:r>
        <w:rPr>
          <w:b/>
          <w:lang w:val="en_US" w:bidi="en_US"/>
        </w:rPr>
        <w:t>Aquifer Open Study Notes (Book Intro Summaries)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AMO</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Amos</w:t>
      </w:r>
      <w:r>
        <w:rPr>
          <w:lang w:val="en_US" w:bidi="en_US"/>
        </w:rPr>
      </w:r>
    </w:p>
    <w:p>
      <w:pPr>
        <w:pStyle w:val="Heading3"/>
      </w:pPr>
      <w:r>
        <w:rPr>
          <w:lang w:val="en_US" w:bidi="en_US"/>
        </w:rPr>
        <w:t>Purpose</w:t>
      </w:r>
    </w:p>
    <w:p>
      <w:pPr/>
      <w:r>
        <w:rPr>
          <w:lang w:val="en_US" w:bidi="en_US"/>
        </w:rPr>
      </w:r>
      <w:r>
        <w:rPr>
          <w:lang w:val="en_US" w:bidi="en_US"/>
        </w:rPr>
        <w:t>To confront the northern kingdom’s apostasy (spiritual rebellion) and oppression of the marginalized (those in society who do not have power)</w:t>
      </w:r>
    </w:p>
    <w:p>
      <w:pPr>
        <w:pStyle w:val="Heading3"/>
      </w:pPr>
      <w:r>
        <w:rPr>
          <w:lang w:val="en_US" w:bidi="en_US"/>
        </w:rPr>
        <w:t>Author</w:t>
      </w:r>
    </w:p>
    <w:p>
      <w:pPr/>
      <w:r>
        <w:rPr>
          <w:lang w:val="en_US" w:bidi="en_US"/>
        </w:rPr>
      </w:r>
      <w:r>
        <w:rPr>
          <w:lang w:val="en_US" w:bidi="en_US"/>
        </w:rPr>
        <w:t>Amos</w:t>
      </w:r>
    </w:p>
    <w:p>
      <w:pPr>
        <w:pStyle w:val="Heading3"/>
      </w:pPr>
      <w:r>
        <w:rPr>
          <w:lang w:val="en_US" w:bidi="en_US"/>
        </w:rPr>
        <w:t>Date</w:t>
      </w:r>
    </w:p>
    <w:p>
      <w:pPr/>
      <w:r>
        <w:rPr>
          <w:lang w:val="en_US" w:bidi="en_US"/>
        </w:rPr>
      </w:r>
      <w:r>
        <w:rPr>
          <w:lang w:val="en_US" w:bidi="en_US"/>
        </w:rPr>
        <w:t>Around 755 BC</w:t>
      </w:r>
    </w:p>
    <w:p>
      <w:pPr>
        <w:pStyle w:val="Heading3"/>
      </w:pPr>
      <w:r>
        <w:rPr>
          <w:lang w:val="en_US" w:bidi="en_US"/>
        </w:rPr>
        <w:t>Setting</w:t>
      </w:r>
    </w:p>
    <w:p>
      <w:pPr/>
      <w:r>
        <w:rPr>
          <w:lang w:val="en_US" w:bidi="en_US"/>
        </w:rPr>
      </w:r>
      <w:r>
        <w:rPr>
          <w:lang w:val="en_US" w:bidi="en_US"/>
        </w:rPr>
        <w:t>The shrine at Bethel in Israel's northern kingdom, during the reign of Jeroboam II</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