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Matthew</w:t>
      </w:r>
      <w:r>
        <w:rPr>
          <w:lang w:val="en_US" w:bidi="en_US"/>
        </w:rPr>
      </w:r>
    </w:p>
    <w:p>
      <w:pPr>
        <w:pStyle w:val="Heading3"/>
      </w:pPr>
      <w:r>
        <w:rPr>
          <w:lang w:val="en_US" w:bidi="en_US"/>
        </w:rPr>
        <w:t>Purpose</w:t>
      </w:r>
    </w:p>
    <w:p>
      <w:pPr>
        <w:pStyle w:val="ListNumber"/>
        <w:numPr>
          <w:ilvl w:val="0"/>
          <w:numId w:val="14"/>
        </w:numPr>
        <w:spacing w:line="240" w:lineRule="auto"/>
        <w:ind w:left="720"/>
      </w:pPr>
      <w:r>
        <w:rPr>
          <w:lang w:val="en_US" w:bidi="en_US"/>
        </w:rPr>
      </w:r>
      <w:r>
        <w:rPr>
          <w:lang w:val="en_US" w:bidi="en_US"/>
        </w:rPr>
        <w:t>To demonstrate that Jesus is the Messiah (God's anointed one)</w:t>
      </w:r>
    </w:p>
    <w:p>
      <w:pPr>
        <w:pStyle w:val="ListNumber"/>
        <w:spacing w:line="240" w:lineRule="auto"/>
        <w:ind w:left="720"/>
      </w:pPr>
      <w:r>
        <w:rPr>
          <w:lang w:val="en_US" w:bidi="en_US"/>
        </w:rPr>
      </w:r>
      <w:r>
        <w:rPr>
          <w:lang w:val="en_US" w:bidi="en_US"/>
        </w:rPr>
        <w:t>To help Christians understand how to live in relation to Judaism</w:t>
      </w:r>
    </w:p>
    <w:p>
      <w:pPr>
        <w:pStyle w:val="Heading3"/>
      </w:pPr>
      <w:r>
        <w:rPr>
          <w:lang w:val="en_US" w:bidi="en_US"/>
        </w:rPr>
        <w:t>Author</w:t>
      </w:r>
    </w:p>
    <w:p>
      <w:pPr/>
      <w:r>
        <w:rPr>
          <w:lang w:val="en_US" w:bidi="en_US"/>
        </w:rPr>
      </w:r>
      <w:r>
        <w:rPr>
          <w:lang w:val="en_US" w:bidi="en_US"/>
        </w:rPr>
        <w:t>Matthew (also known as Levi), one of the twelve apostles of Jesus</w:t>
      </w:r>
    </w:p>
    <w:p>
      <w:pPr>
        <w:pStyle w:val="Heading3"/>
      </w:pPr>
      <w:r>
        <w:rPr>
          <w:lang w:val="en_US" w:bidi="en_US"/>
        </w:rPr>
        <w:t>Date</w:t>
      </w:r>
    </w:p>
    <w:p>
      <w:pPr/>
      <w:r>
        <w:rPr>
          <w:lang w:val="en_US" w:bidi="en_US"/>
        </w:rPr>
      </w:r>
      <w:r>
        <w:rPr>
          <w:lang w:val="en_US" w:bidi="en_US"/>
        </w:rPr>
        <w:t>Likely sometime between AD 65 and 80</w:t>
      </w:r>
    </w:p>
    <w:p>
      <w:pPr>
        <w:pStyle w:val="Heading3"/>
      </w:pPr>
      <w:r>
        <w:rPr>
          <w:lang w:val="en_US" w:bidi="en_US"/>
        </w:rPr>
        <w:t>Setting</w:t>
      </w:r>
    </w:p>
    <w:p>
      <w:pPr/>
      <w:r>
        <w:rPr>
          <w:lang w:val="en_US" w:bidi="en_US"/>
        </w:rPr>
      </w:r>
      <w:r>
        <w:rPr>
          <w:lang w:val="en_US" w:bidi="en_US"/>
        </w:rPr>
        <w:t>Written at a time in which early Christians were struggling to make sense of the relationship of their new beliefs to the Jewish faith</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