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Chroniques</w:t>
      </w:r>
      <w:r>
        <w:rPr>
          <w:lang w:val="fr_FR" w:bidi="fr_FR"/>
        </w:rPr>
      </w:r>
    </w:p>
    <w:p>
      <w:pPr/>
      <w:r>
        <w:rPr>
          <w:lang w:val="fr_FR" w:bidi="fr_FR"/>
        </w:rPr>
      </w:r>
      <w:r>
        <w:rPr>
          <w:lang w:val="fr_FR" w:bidi="fr_FR"/>
        </w:rPr>
        <w:t>Le premier livre des Chroniques</w:t>
      </w:r>
    </w:p>
    <w:p>
      <w:pPr>
        <w:pStyle w:val="Heading3"/>
      </w:pPr>
      <w:r>
        <w:rPr>
          <w:lang w:val="fr_FR" w:bidi="fr_FR"/>
        </w:rPr>
        <w:t>Dessein</w:t>
      </w:r>
    </w:p>
    <w:p>
      <w:pPr/>
      <w:r>
        <w:rPr>
          <w:lang w:val="fr_FR" w:bidi="fr_FR"/>
        </w:rPr>
      </w:r>
      <w:r>
        <w:rPr>
          <w:lang w:val="fr_FR" w:bidi="fr_FR"/>
        </w:rPr>
        <w:t>Donner de l’espoir – en se référant en grande partie à la promesse davidique – aux Juifs retournés dans leur pays, mais qui étaient asservis</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Probablement écrit vers 400 av. J.-C. ; rapporte des événements survenus vers 1011–971 av. J.-C.</w:t>
      </w:r>
    </w:p>
    <w:p>
      <w:pPr>
        <w:pStyle w:val="Heading3"/>
      </w:pPr>
      <w:r>
        <w:rPr>
          <w:lang w:val="fr_FR" w:bidi="fr_FR"/>
        </w:rPr>
        <w:t>Cadre</w:t>
      </w:r>
    </w:p>
    <w:p>
      <w:pPr/>
      <w:r>
        <w:rPr>
          <w:lang w:val="fr_FR" w:bidi="fr_FR"/>
        </w:rPr>
      </w:r>
      <w:r>
        <w:rPr>
          <w:lang w:val="fr_FR" w:bidi="fr_FR"/>
        </w:rPr>
        <w:t>Après l’exil, les Juifs étaient retournés en Judée, mais ils vivaient toujours sous une domination étrangère (persane) ; le récit se concentre surtout sur le règne de David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