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 Summaries)</w:t>
      </w:r>
      <w:r>
        <w:rPr>
          <w:lang w:val="fr_FR" w:bidi="fr_FR"/>
        </w:rPr>
      </w:r>
    </w:p>
    <w:p>
      <w:pPr/>
      <w:r>
        <w:rPr>
          <w:lang w:val="fr_FR" w:bidi="fr_FR"/>
        </w:rPr>
      </w:r>
      <w:r>
        <w:rPr>
          <w:b/>
          <w:lang w:val="fr_FR" w:bidi="fr_FR"/>
        </w:rPr>
        <w:t>Aquifer Open Study Notes (Book Intro Summaries)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ECC</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Ecclésiaste</w:t>
      </w:r>
      <w:r>
        <w:rPr>
          <w:lang w:val="fr_FR" w:bidi="fr_FR"/>
        </w:rPr>
      </w:r>
    </w:p>
    <w:p>
      <w:pPr/>
      <w:r>
        <w:rPr>
          <w:lang w:val="fr_FR" w:bidi="fr_FR"/>
        </w:rPr>
      </w:r>
      <w:r>
        <w:rPr>
          <w:lang w:val="fr_FR" w:bidi="fr_FR"/>
        </w:rPr>
        <w:t>Le livre de l’Ecclésiaste</w:t>
      </w:r>
    </w:p>
    <w:p>
      <w:pPr>
        <w:pStyle w:val="Heading3"/>
      </w:pPr>
      <w:r>
        <w:rPr>
          <w:lang w:val="fr_FR" w:bidi="fr_FR"/>
        </w:rPr>
        <w:t>Dessein</w:t>
      </w:r>
    </w:p>
    <w:p>
      <w:pPr/>
      <w:r>
        <w:rPr>
          <w:lang w:val="fr_FR" w:bidi="fr_FR"/>
        </w:rPr>
      </w:r>
      <w:r>
        <w:rPr>
          <w:lang w:val="fr_FR" w:bidi="fr_FR"/>
        </w:rPr>
        <w:t>Réfléchir au sens de la vie et à comment en profiter</w:t>
      </w:r>
    </w:p>
    <w:p>
      <w:pPr>
        <w:pStyle w:val="Heading3"/>
      </w:pPr>
      <w:r>
        <w:rPr>
          <w:lang w:val="fr_FR" w:bidi="fr_FR"/>
        </w:rPr>
        <w:t>Auteur</w:t>
      </w:r>
    </w:p>
    <w:p>
      <w:pPr/>
      <w:r>
        <w:rPr>
          <w:lang w:val="fr_FR" w:bidi="fr_FR"/>
        </w:rPr>
      </w:r>
      <w:r>
        <w:rPr>
          <w:lang w:val="fr_FR" w:bidi="fr_FR"/>
        </w:rPr>
        <w:t>Salomon</w:t>
      </w:r>
    </w:p>
    <w:p>
      <w:pPr>
        <w:pStyle w:val="Heading3"/>
      </w:pPr>
      <w:r>
        <w:rPr>
          <w:lang w:val="fr_FR" w:bidi="fr_FR"/>
        </w:rPr>
        <w:t>Date</w:t>
      </w:r>
    </w:p>
    <w:p>
      <w:pPr/>
      <w:r>
        <w:rPr>
          <w:lang w:val="fr_FR" w:bidi="fr_FR"/>
        </w:rPr>
      </w:r>
      <w:r>
        <w:rPr>
          <w:lang w:val="fr_FR" w:bidi="fr_FR"/>
        </w:rPr>
        <w:t>Vers 971–931 av. J.-C.</w:t>
      </w:r>
    </w:p>
    <w:p>
      <w:pPr>
        <w:pStyle w:val="Heading3"/>
      </w:pPr>
      <w:r>
        <w:rPr>
          <w:lang w:val="fr_FR" w:bidi="fr_FR"/>
        </w:rPr>
        <w:t>Cadre</w:t>
      </w:r>
    </w:p>
    <w:p>
      <w:pPr/>
      <w:r>
        <w:rPr>
          <w:lang w:val="fr_FR" w:bidi="fr_FR"/>
        </w:rPr>
      </w:r>
      <w:r>
        <w:rPr>
          <w:lang w:val="fr_FR" w:bidi="fr_FR"/>
        </w:rPr>
        <w:t>Le règne très prospère, mais apparemment insatisfaisant, de Salomon</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