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 Summaries)</w:t>
      </w:r>
      <w:r>
        <w:rPr>
          <w:lang w:val="fr_FR" w:bidi="fr_FR"/>
        </w:rPr>
      </w:r>
    </w:p>
    <w:p>
      <w:pPr/>
      <w:r>
        <w:rPr>
          <w:lang w:val="fr_FR" w:bidi="fr_FR"/>
        </w:rPr>
      </w:r>
      <w:r>
        <w:rPr>
          <w:b/>
          <w:lang w:val="fr_FR" w:bidi="fr_FR"/>
        </w:rPr>
        <w:t>Aquifer Open Study Notes (Book Intro Summaries)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HOS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Osée</w:t>
      </w:r>
      <w:r>
        <w:rPr>
          <w:lang w:val="fr_FR" w:bidi="fr_FR"/>
        </w:rPr>
      </w:r>
    </w:p>
    <w:p>
      <w:pPr/>
      <w:r>
        <w:rPr>
          <w:lang w:val="fr_FR" w:bidi="fr_FR"/>
        </w:rPr>
      </w:r>
      <w:r>
        <w:rPr>
          <w:lang w:val="fr_FR" w:bidi="fr_FR"/>
        </w:rPr>
        <w:t>Le livre d’Osée</w:t>
      </w:r>
    </w:p>
    <w:p>
      <w:pPr>
        <w:pStyle w:val="Heading3"/>
      </w:pPr>
      <w:r>
        <w:rPr>
          <w:lang w:val="fr_FR" w:bidi="fr_FR"/>
        </w:rPr>
        <w:t>Dessein</w:t>
      </w:r>
    </w:p>
    <w:p>
      <w:pPr/>
      <w:r>
        <w:rPr>
          <w:lang w:val="fr_FR" w:bidi="fr_FR"/>
        </w:rPr>
      </w:r>
      <w:r>
        <w:rPr>
          <w:lang w:val="fr_FR" w:bidi="fr_FR"/>
        </w:rPr>
        <w:t>Dépeindre l’infidélité d’Israël et le jugement à venir, tout en manifestant le désir de Dieu de guérir et de restaurer son peuple</w:t>
      </w:r>
    </w:p>
    <w:p>
      <w:pPr>
        <w:pStyle w:val="Heading3"/>
      </w:pPr>
      <w:r>
        <w:rPr>
          <w:lang w:val="fr_FR" w:bidi="fr_FR"/>
        </w:rPr>
        <w:t>Auteur</w:t>
      </w:r>
    </w:p>
    <w:p>
      <w:pPr/>
      <w:r>
        <w:rPr>
          <w:lang w:val="fr_FR" w:bidi="fr_FR"/>
        </w:rPr>
      </w:r>
      <w:r>
        <w:rPr>
          <w:lang w:val="fr_FR" w:bidi="fr_FR"/>
        </w:rPr>
        <w:t>Osée</w:t>
      </w:r>
    </w:p>
    <w:p>
      <w:pPr>
        <w:pStyle w:val="Heading3"/>
      </w:pPr>
      <w:r>
        <w:rPr>
          <w:lang w:val="fr_FR" w:bidi="fr_FR"/>
        </w:rPr>
        <w:t>Date</w:t>
      </w:r>
    </w:p>
    <w:p>
      <w:pPr/>
      <w:r>
        <w:rPr>
          <w:lang w:val="fr_FR" w:bidi="fr_FR"/>
        </w:rPr>
      </w:r>
      <w:r>
        <w:rPr>
          <w:lang w:val="fr_FR" w:bidi="fr_FR"/>
        </w:rPr>
        <w:t>Vers 760–722 av. J.-C.</w:t>
      </w:r>
    </w:p>
    <w:p>
      <w:pPr>
        <w:pStyle w:val="Heading3"/>
      </w:pPr>
      <w:r>
        <w:rPr>
          <w:lang w:val="fr_FR" w:bidi="fr_FR"/>
        </w:rPr>
        <w:t>Cadre</w:t>
      </w:r>
    </w:p>
    <w:p>
      <w:pPr/>
      <w:r>
        <w:rPr>
          <w:lang w:val="fr_FR" w:bidi="fr_FR"/>
        </w:rPr>
      </w:r>
      <w:r>
        <w:rPr>
          <w:lang w:val="fr_FR" w:bidi="fr_FR"/>
        </w:rPr>
        <w:t>Le Royaume du Nord, d’Israël, pendant les jours avant sa destruction par l’Assyrie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