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Malachie</w:t>
      </w:r>
      <w:r>
        <w:rPr>
          <w:lang w:val="fr_FR" w:bidi="fr_FR"/>
        </w:rPr>
      </w:r>
    </w:p>
    <w:p>
      <w:pPr/>
      <w:r>
        <w:rPr>
          <w:lang w:val="fr_FR" w:bidi="fr_FR"/>
        </w:rPr>
      </w:r>
      <w:r>
        <w:rPr>
          <w:lang w:val="fr_FR" w:bidi="fr_FR"/>
        </w:rPr>
        <w:t>Le livre de Malachie</w:t>
      </w:r>
    </w:p>
    <w:p>
      <w:pPr>
        <w:pStyle w:val="Heading3"/>
      </w:pPr>
      <w:r>
        <w:rPr>
          <w:lang w:val="fr_FR" w:bidi="fr_FR"/>
        </w:rPr>
        <w:t>Dessein</w:t>
      </w:r>
    </w:p>
    <w:p>
      <w:pPr/>
      <w:r>
        <w:rPr>
          <w:lang w:val="fr_FR" w:bidi="fr_FR"/>
        </w:rPr>
      </w:r>
      <w:r>
        <w:rPr>
          <w:lang w:val="fr_FR" w:bidi="fr_FR"/>
        </w:rPr>
        <w:t>Réorienter le peuple vers une bonne conduite en matière relationnelle et cultuelle</w:t>
      </w:r>
    </w:p>
    <w:p>
      <w:pPr>
        <w:pStyle w:val="Heading3"/>
      </w:pPr>
      <w:r>
        <w:rPr>
          <w:lang w:val="fr_FR" w:bidi="fr_FR"/>
        </w:rPr>
        <w:t>Auteur</w:t>
      </w:r>
    </w:p>
    <w:p>
      <w:pPr/>
      <w:r>
        <w:rPr>
          <w:lang w:val="fr_FR" w:bidi="fr_FR"/>
        </w:rPr>
      </w:r>
      <w:r>
        <w:rPr>
          <w:lang w:val="fr_FR" w:bidi="fr_FR"/>
        </w:rPr>
        <w:t>Malachie</w:t>
      </w:r>
    </w:p>
    <w:p>
      <w:pPr>
        <w:pStyle w:val="Heading3"/>
      </w:pPr>
      <w:r>
        <w:rPr>
          <w:lang w:val="fr_FR" w:bidi="fr_FR"/>
        </w:rPr>
        <w:t>Date</w:t>
      </w:r>
    </w:p>
    <w:p>
      <w:pPr/>
      <w:r>
        <w:rPr>
          <w:lang w:val="fr_FR" w:bidi="fr_FR"/>
        </w:rPr>
      </w:r>
      <w:r>
        <w:rPr>
          <w:lang w:val="fr_FR" w:bidi="fr_FR"/>
        </w:rPr>
        <w:t>Probablement au cours du 5° Siècle av. J.-C.</w:t>
      </w:r>
    </w:p>
    <w:p>
      <w:pPr>
        <w:pStyle w:val="Heading3"/>
      </w:pPr>
      <w:r>
        <w:rPr>
          <w:lang w:val="fr_FR" w:bidi="fr_FR"/>
        </w:rPr>
        <w:t>Cadre</w:t>
      </w:r>
    </w:p>
    <w:p>
      <w:pPr/>
      <w:r>
        <w:rPr>
          <w:lang w:val="fr_FR" w:bidi="fr_FR"/>
        </w:rPr>
      </w:r>
      <w:r>
        <w:rPr>
          <w:lang w:val="fr_FR" w:bidi="fr_FR"/>
        </w:rPr>
        <w:t>La Judée après l’exil, pendant la domination perse, après la reconstruction du Temple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