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 Summaries)</w:t>
      </w:r>
      <w:r>
        <w:rPr>
          <w:lang w:val="fr_FR" w:bidi="fr_FR"/>
        </w:rPr>
      </w:r>
    </w:p>
    <w:p>
      <w:pPr/>
      <w:r>
        <w:rPr>
          <w:lang w:val="fr_FR" w:bidi="fr_FR"/>
        </w:rPr>
      </w:r>
      <w:r>
        <w:rPr>
          <w:b/>
          <w:lang w:val="fr_FR" w:bidi="fr_FR"/>
        </w:rPr>
        <w:t>Aquifer Open Study Notes (Book Intro Summaries)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HEB</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Hébreux</w:t>
      </w:r>
      <w:r>
        <w:rPr>
          <w:lang w:val="fr_FR" w:bidi="fr_FR"/>
        </w:rPr>
      </w:r>
    </w:p>
    <w:p>
      <w:pPr/>
      <w:r>
        <w:rPr>
          <w:lang w:val="fr_FR" w:bidi="fr_FR"/>
        </w:rPr>
      </w:r>
      <w:r>
        <w:rPr>
          <w:lang w:val="fr_FR" w:bidi="fr_FR"/>
        </w:rPr>
        <w:t>La lettre aux Hébreux</w:t>
      </w:r>
    </w:p>
    <w:p>
      <w:pPr>
        <w:pStyle w:val="Heading3"/>
      </w:pPr>
      <w:r>
        <w:rPr>
          <w:lang w:val="fr_FR" w:bidi="fr_FR"/>
        </w:rPr>
        <w:t>Dessein</w:t>
      </w:r>
    </w:p>
    <w:p>
      <w:pPr/>
      <w:r>
        <w:rPr>
          <w:lang w:val="fr_FR" w:bidi="fr_FR"/>
        </w:rPr>
      </w:r>
      <w:r>
        <w:rPr>
          <w:lang w:val="fr_FR" w:bidi="fr_FR"/>
        </w:rPr>
        <w:t>Encourager à la persévérance face à la souffrance, essentiellement en soulignant la supériorité de Christ et la suffisance de son œuvre</w:t>
      </w:r>
    </w:p>
    <w:p>
      <w:pPr>
        <w:pStyle w:val="Heading3"/>
      </w:pPr>
      <w:r>
        <w:rPr>
          <w:lang w:val="fr_FR" w:bidi="fr_FR"/>
        </w:rPr>
        <w:t>Auteur</w:t>
      </w:r>
    </w:p>
    <w:p>
      <w:pPr/>
      <w:r>
        <w:rPr>
          <w:lang w:val="fr_FR" w:bidi="fr_FR"/>
        </w:rPr>
      </w:r>
      <w:r>
        <w:rPr>
          <w:lang w:val="fr_FR" w:bidi="fr_FR"/>
        </w:rPr>
        <w:t>Inconnue</w:t>
      </w:r>
    </w:p>
    <w:p>
      <w:pPr>
        <w:pStyle w:val="Heading3"/>
      </w:pPr>
      <w:r>
        <w:rPr>
          <w:lang w:val="fr_FR" w:bidi="fr_FR"/>
        </w:rPr>
        <w:t>Date</w:t>
      </w:r>
    </w:p>
    <w:p>
      <w:pPr/>
      <w:r>
        <w:rPr>
          <w:lang w:val="fr_FR" w:bidi="fr_FR"/>
        </w:rPr>
      </w:r>
      <w:r>
        <w:rPr>
          <w:lang w:val="fr_FR" w:bidi="fr_FR"/>
        </w:rPr>
        <w:t>Probablement au début des années 60 ap. J.-C. ; une autre possibilité serait après 70 ap. J.-C.</w:t>
      </w:r>
    </w:p>
    <w:p>
      <w:pPr>
        <w:pStyle w:val="Heading3"/>
      </w:pPr>
      <w:r>
        <w:rPr>
          <w:lang w:val="fr_FR" w:bidi="fr_FR"/>
        </w:rPr>
        <w:t>Cadre</w:t>
      </w:r>
    </w:p>
    <w:p>
      <w:pPr/>
      <w:r>
        <w:rPr>
          <w:lang w:val="fr_FR" w:bidi="fr_FR"/>
        </w:rPr>
      </w:r>
      <w:r>
        <w:rPr>
          <w:lang w:val="fr_FR" w:bidi="fr_FR"/>
        </w:rPr>
        <w:t>Adressé à un groupe de croyants (probablement à Rome) qui étaient persécutés et luttaient pour garder la foi</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