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इतिहास</w:t>
      </w:r>
      <w:r>
        <w:rPr>
          <w:lang w:val="hi_IN" w:bidi="hi_IN"/>
        </w:rPr>
      </w:r>
    </w:p>
    <w:p>
      <w:pPr/>
      <w:r>
        <w:rPr>
          <w:lang w:val="hi_IN" w:bidi="hi_IN"/>
        </w:rPr>
      </w:r>
      <w:r>
        <w:rPr>
          <w:lang w:val="hi_IN" w:bidi="hi_IN"/>
        </w:rPr>
        <w:t>इतिहास की दूसरी पुस्तक</w:t>
      </w:r>
    </w:p>
    <w:p>
      <w:pPr>
        <w:pStyle w:val="Heading3"/>
      </w:pPr>
      <w:r>
        <w:rPr>
          <w:lang w:val="hi_IN" w:bidi="hi_IN"/>
        </w:rPr>
        <w:t>उद्देश्य</w:t>
      </w:r>
    </w:p>
    <w:p>
      <w:pPr/>
      <w:r>
        <w:rPr>
          <w:lang w:val="hi_IN" w:bidi="hi_IN"/>
        </w:rPr>
      </w:r>
      <w:r>
        <w:rPr>
          <w:lang w:val="hi_IN" w:bidi="hi_IN"/>
        </w:rPr>
        <w:t>इस्राएल को पुनः स्थापित किए गए राज्य की आशा देना विशेष रूप से उचित आराधना के साथ</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संभवतः 400 शताब्दी ई. पू. के आसपास लिखा गया, 971–538 ई. पू. के आसपास घटी घटनाओं को दर्ज करते हुए</w:t>
      </w:r>
    </w:p>
    <w:p>
      <w:pPr>
        <w:pStyle w:val="Heading3"/>
      </w:pPr>
      <w:r>
        <w:rPr>
          <w:lang w:val="hi_IN" w:bidi="hi_IN"/>
        </w:rPr>
        <w:t>घटनास्थल</w:t>
      </w:r>
    </w:p>
    <w:p>
      <w:pPr/>
      <w:r>
        <w:rPr>
          <w:lang w:val="hi_IN" w:bidi="hi_IN"/>
        </w:rPr>
      </w:r>
      <w:r>
        <w:rPr>
          <w:lang w:val="hi_IN" w:bidi="hi_IN"/>
        </w:rPr>
        <w:t>फारसी शासन काल में निर्वासन के बाद यहूदिया; वृतांत का आरंभ सुलैमान के शासन से और अंत लोगों को यहूदिया लौटने की अनुमति देने की कुस्रू की उद्घोषणा के साथ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