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थिस्सलुनीकियों</w:t>
      </w:r>
      <w:r>
        <w:rPr>
          <w:lang w:val="hi_IN" w:bidi="hi_IN"/>
        </w:rPr>
      </w:r>
    </w:p>
    <w:p>
      <w:pPr/>
      <w:r>
        <w:rPr>
          <w:lang w:val="hi_IN" w:bidi="hi_IN"/>
        </w:rPr>
      </w:r>
      <w:r>
        <w:rPr>
          <w:lang w:val="hi_IN" w:bidi="hi_IN"/>
        </w:rPr>
        <w:t>थिस्सलुनीकियों के नाम पौलुस की दूसरी पत्री</w:t>
      </w:r>
    </w:p>
    <w:p>
      <w:pPr>
        <w:pStyle w:val="Heading3"/>
      </w:pPr>
      <w:r>
        <w:rPr>
          <w:lang w:val="hi_IN" w:bidi="hi_IN"/>
        </w:rPr>
        <w:t>उद्देश्य</w:t>
      </w:r>
    </w:p>
    <w:p>
      <w:pPr/>
      <w:r>
        <w:rPr>
          <w:lang w:val="hi_IN" w:bidi="hi_IN"/>
        </w:rPr>
      </w:r>
      <w:r>
        <w:rPr>
          <w:lang w:val="hi_IN" w:bidi="hi_IN"/>
        </w:rPr>
        <w:t>सताव के बीच आशा जगाना और झूठी शिक्षा और सामुदायिक आलस्य को संबोधित करना</w:t>
      </w:r>
    </w:p>
    <w:p>
      <w:pPr>
        <w:pStyle w:val="Heading3"/>
      </w:pPr>
      <w:r>
        <w:rPr>
          <w:lang w:val="hi_IN" w:bidi="hi_IN"/>
        </w:rPr>
        <w:t>लेखक</w:t>
      </w:r>
    </w:p>
    <w:p>
      <w:pPr/>
      <w:r>
        <w:rPr>
          <w:lang w:val="hi_IN" w:bidi="hi_IN"/>
        </w:rPr>
      </w:r>
      <w:r>
        <w:rPr>
          <w:lang w:val="hi_IN" w:bidi="hi_IN"/>
        </w:rPr>
        <w:t>पौलुस, सीलास और तीमुथियुस के साथ</w:t>
      </w:r>
    </w:p>
    <w:p>
      <w:pPr>
        <w:pStyle w:val="Heading3"/>
      </w:pPr>
      <w:r>
        <w:rPr>
          <w:lang w:val="hi_IN" w:bidi="hi_IN"/>
        </w:rPr>
        <w:t>तिथि</w:t>
      </w:r>
    </w:p>
    <w:p>
      <w:pPr/>
      <w:r>
        <w:rPr>
          <w:lang w:val="hi_IN" w:bidi="hi_IN"/>
        </w:rPr>
      </w:r>
      <w:r>
        <w:rPr>
          <w:lang w:val="hi_IN" w:bidi="hi_IN"/>
        </w:rPr>
        <w:t>51 ई. सन्. के आसपास</w:t>
      </w:r>
    </w:p>
    <w:p>
      <w:pPr>
        <w:pStyle w:val="Heading3"/>
      </w:pPr>
      <w:r>
        <w:rPr>
          <w:lang w:val="hi_IN" w:bidi="hi_IN"/>
        </w:rPr>
        <w:t>घटनास्थल</w:t>
      </w:r>
    </w:p>
    <w:p>
      <w:pPr/>
      <w:r>
        <w:rPr>
          <w:lang w:val="hi_IN" w:bidi="hi_IN"/>
        </w:rPr>
      </w:r>
      <w:r>
        <w:rPr>
          <w:lang w:val="hi_IN" w:bidi="hi_IN"/>
        </w:rPr>
        <w:t>1 थिस्सलुनीकियों लिखे जाने के तत्काल बाद लिखी गई, जब सताव बढ़ गया था और झूठी शिक्षा उत्पन्न हो गई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