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1CH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Tawarikh</w:t>
      </w:r>
      <w:r>
        <w:rPr>
          <w:lang w:val="id_ID" w:bidi="id_ID"/>
        </w:rPr>
      </w:r>
    </w:p>
    <w:p>
      <w:pPr/>
      <w:r>
        <w:rPr>
          <w:lang w:val="id_ID" w:bidi="id_ID"/>
        </w:rPr>
      </w:r>
      <w:r>
        <w:rPr>
          <w:lang w:val="id_ID" w:bidi="id_ID"/>
        </w:rPr>
        <w:t>Kitab 1 Tawarikh</w:t>
      </w:r>
    </w:p>
    <w:p>
      <w:pPr>
        <w:pStyle w:val="Heading3"/>
      </w:pPr>
      <w:r>
        <w:rPr>
          <w:lang w:val="id_ID" w:bidi="id_ID"/>
        </w:rPr>
        <w:t>Tujuan</w:t>
      </w:r>
    </w:p>
    <w:p>
      <w:pPr/>
      <w:r>
        <w:rPr>
          <w:lang w:val="id_ID" w:bidi="id_ID"/>
        </w:rPr>
      </w:r>
      <w:r>
        <w:rPr>
          <w:lang w:val="id_ID" w:bidi="id_ID"/>
        </w:rPr>
        <w:t>Menanamkan harapan—sebagian besar merujuk kepada janji yang diterima Daud—pada orang-orang Yahudi yang telah kembali ke negeri mereka tetapi hidup dalam penindasan</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Kemungkinan ditulis sekitar tahun 400 SM, sebagian besar mencatat peristiwa-peristiwa yang terjadi sekitar tahun 1011–971 SM</w:t>
      </w:r>
    </w:p>
    <w:p>
      <w:pPr>
        <w:pStyle w:val="Heading3"/>
      </w:pPr>
      <w:r>
        <w:rPr>
          <w:lang w:val="id_ID" w:bidi="id_ID"/>
        </w:rPr>
        <w:t>Latar Belakang</w:t>
      </w:r>
    </w:p>
    <w:p>
      <w:pPr/>
      <w:r>
        <w:rPr>
          <w:lang w:val="id_ID" w:bidi="id_ID"/>
        </w:rPr>
      </w:r>
      <w:r>
        <w:rPr>
          <w:lang w:val="id_ID" w:bidi="id_ID"/>
        </w:rPr>
        <w:t>Wilayah Yudea telah kembali didiami oleh orang-orang Yahudi, tetapi mereka masih hidup di bawah pemerintahan asing (Persia); kitab ini pada dasarnya menelusuri pemerintahan Daud</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