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Hagai</w:t>
      </w:r>
      <w:r>
        <w:rPr>
          <w:lang w:val="id_ID" w:bidi="id_ID"/>
        </w:rPr>
      </w:r>
    </w:p>
    <w:p>
      <w:pPr/>
      <w:r>
        <w:rPr>
          <w:lang w:val="id_ID" w:bidi="id_ID"/>
        </w:rPr>
      </w:r>
      <w:r>
        <w:rPr>
          <w:lang w:val="id_ID" w:bidi="id_ID"/>
        </w:rPr>
        <w:t>Kitab Hagai</w:t>
      </w:r>
    </w:p>
    <w:p>
      <w:pPr>
        <w:pStyle w:val="Heading3"/>
      </w:pPr>
      <w:r>
        <w:rPr>
          <w:lang w:val="id_ID" w:bidi="id_ID"/>
        </w:rPr>
        <w:t>Tujuan</w:t>
      </w:r>
    </w:p>
    <w:p>
      <w:pPr/>
      <w:r>
        <w:rPr>
          <w:lang w:val="id_ID" w:bidi="id_ID"/>
        </w:rPr>
      </w:r>
      <w:r>
        <w:rPr>
          <w:lang w:val="id_ID" w:bidi="id_ID"/>
        </w:rPr>
        <w:t>Mendorong orang-rang Yahudi melanjutkan pembangunan Bait Suci dan pembaruan rohani</w:t>
      </w:r>
    </w:p>
    <w:p>
      <w:pPr>
        <w:pStyle w:val="Heading3"/>
      </w:pPr>
      <w:r>
        <w:rPr>
          <w:lang w:val="id_ID" w:bidi="id_ID"/>
        </w:rPr>
        <w:t>Penulis</w:t>
      </w:r>
    </w:p>
    <w:p>
      <w:pPr/>
      <w:r>
        <w:rPr>
          <w:lang w:val="id_ID" w:bidi="id_ID"/>
        </w:rPr>
      </w:r>
      <w:r>
        <w:rPr>
          <w:lang w:val="id_ID" w:bidi="id_ID"/>
        </w:rPr>
        <w:t>Hagai</w:t>
      </w:r>
    </w:p>
    <w:p>
      <w:pPr>
        <w:pStyle w:val="Heading3"/>
      </w:pPr>
      <w:r>
        <w:rPr>
          <w:lang w:val="id_ID" w:bidi="id_ID"/>
        </w:rPr>
        <w:t>Tahun penulisan</w:t>
      </w:r>
    </w:p>
    <w:p>
      <w:pPr/>
      <w:r>
        <w:rPr>
          <w:lang w:val="id_ID" w:bidi="id_ID"/>
        </w:rPr>
      </w:r>
      <w:r>
        <w:rPr>
          <w:lang w:val="id_ID" w:bidi="id_ID"/>
        </w:rPr>
        <w:t>520 SM</w:t>
      </w:r>
    </w:p>
    <w:p>
      <w:pPr>
        <w:pStyle w:val="Heading3"/>
      </w:pPr>
      <w:r>
        <w:rPr>
          <w:lang w:val="id_ID" w:bidi="id_ID"/>
        </w:rPr>
        <w:t>Latar Belakang</w:t>
      </w:r>
    </w:p>
    <w:p>
      <w:pPr/>
      <w:r>
        <w:rPr>
          <w:lang w:val="id_ID" w:bidi="id_ID"/>
        </w:rPr>
      </w:r>
      <w:r>
        <w:rPr>
          <w:lang w:val="id_ID" w:bidi="id_ID"/>
        </w:rPr>
        <w:t>Yerusalem, hampir dua puluh tahun setelah Koresh mengizinkan orang-orang Yahudi kembali ke negerinya dan membangun kembali Bait Suci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