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 Summaries)</w:t>
      </w:r>
      <w:r>
        <w:rPr>
          <w:lang w:val="id_ID" w:bidi="id_ID"/>
        </w:rPr>
      </w:r>
    </w:p>
    <w:p>
      <w:pPr/>
      <w:r>
        <w:rPr>
          <w:lang w:val="id_ID" w:bidi="id_ID"/>
        </w:rPr>
      </w:r>
      <w:r>
        <w:rPr>
          <w:b/>
          <w:lang w:val="id_ID" w:bidi="id_ID"/>
        </w:rPr>
        <w:t>Aquifer Open Study Notes (Book Intro Summaries)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Galatia</w:t>
      </w:r>
      <w:r>
        <w:rPr>
          <w:lang w:val="id_ID" w:bidi="id_ID"/>
        </w:rPr>
      </w:r>
    </w:p>
    <w:p>
      <w:pPr/>
      <w:r>
        <w:rPr>
          <w:lang w:val="id_ID" w:bidi="id_ID"/>
        </w:rPr>
      </w:r>
      <w:r>
        <w:rPr>
          <w:lang w:val="id_ID" w:bidi="id_ID"/>
        </w:rPr>
        <w:t>Surat Paulus kepada Jemaat di Galatia</w:t>
      </w:r>
    </w:p>
    <w:p>
      <w:pPr>
        <w:pStyle w:val="Heading3"/>
      </w:pPr>
      <w:r>
        <w:rPr>
          <w:lang w:val="id_ID" w:bidi="id_ID"/>
        </w:rPr>
        <w:t>Tujuan</w:t>
      </w:r>
    </w:p>
    <w:p>
      <w:pPr/>
      <w:r>
        <w:rPr>
          <w:lang w:val="id_ID" w:bidi="id_ID"/>
        </w:rPr>
      </w:r>
      <w:r>
        <w:rPr>
          <w:lang w:val="id_ID" w:bidi="id_ID"/>
        </w:rPr>
        <w:t>Meyakinkan orang-orang Kristen berlatar belakang non-Yahudi di kota Galatia—melawan penentangan dari orang-orang Kristen tertentu yang berlatar belakang Yahudi—bahwa sunat atau melakukan praktik-praktik lain dari hukum-hukum Yahudi tidak diperlukan untuk menjadi umat Allah.</w:t>
      </w:r>
    </w:p>
    <w:p>
      <w:pPr>
        <w:pStyle w:val="Heading3"/>
      </w:pPr>
      <w:r>
        <w:rPr>
          <w:lang w:val="id_ID" w:bidi="id_ID"/>
        </w:rPr>
        <w:t>Penulis</w:t>
      </w:r>
    </w:p>
    <w:p>
      <w:pPr/>
      <w:r>
        <w:rPr>
          <w:lang w:val="id_ID" w:bidi="id_ID"/>
        </w:rPr>
      </w:r>
      <w:r>
        <w:rPr>
          <w:lang w:val="id_ID" w:bidi="id_ID"/>
        </w:rPr>
        <w:t>Paulus</w:t>
      </w:r>
    </w:p>
    <w:p>
      <w:pPr>
        <w:pStyle w:val="Heading3"/>
      </w:pPr>
      <w:r>
        <w:rPr>
          <w:lang w:val="id_ID" w:bidi="id_ID"/>
        </w:rPr>
        <w:t>Tahun penulisan</w:t>
      </w:r>
    </w:p>
    <w:p>
      <w:pPr/>
      <w:r>
        <w:rPr>
          <w:lang w:val="id_ID" w:bidi="id_ID"/>
        </w:rPr>
      </w:r>
      <w:r>
        <w:rPr>
          <w:lang w:val="id_ID" w:bidi="id_ID"/>
        </w:rPr>
        <w:t>Kemungkinan Tahun 48 atau 49 M, persis sebelum konsili di Yerusalem</w:t>
      </w:r>
    </w:p>
    <w:p>
      <w:pPr>
        <w:pStyle w:val="Heading3"/>
      </w:pPr>
      <w:r>
        <w:rPr>
          <w:lang w:val="id_ID" w:bidi="id_ID"/>
        </w:rPr>
        <w:t>Latar Belakang</w:t>
      </w:r>
    </w:p>
    <w:p>
      <w:pPr/>
      <w:r>
        <w:rPr>
          <w:lang w:val="id_ID" w:bidi="id_ID"/>
        </w:rPr>
      </w:r>
      <w:r>
        <w:rPr>
          <w:lang w:val="id_ID" w:bidi="id_ID"/>
        </w:rPr>
        <w:t>Ditulis setelah sekelompok orang Kristen berlatar belakang Yahudi menyusup ke dalam komunitas gereja di Galatia dan mengajarkan kewajiban sunat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