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Tesalonika</w:t>
      </w:r>
      <w:r>
        <w:rPr>
          <w:lang w:val="id_ID" w:bidi="id_ID"/>
        </w:rPr>
      </w:r>
    </w:p>
    <w:p>
      <w:pPr/>
      <w:r>
        <w:rPr>
          <w:lang w:val="id_ID" w:bidi="id_ID"/>
        </w:rPr>
      </w:r>
      <w:r>
        <w:rPr>
          <w:lang w:val="id_ID" w:bidi="id_ID"/>
        </w:rPr>
        <w:t>Surat Paulus yang Kedua kepada Jemaat di Tesalonika</w:t>
      </w:r>
    </w:p>
    <w:p>
      <w:pPr>
        <w:pStyle w:val="Heading3"/>
      </w:pPr>
      <w:r>
        <w:rPr>
          <w:lang w:val="id_ID" w:bidi="id_ID"/>
        </w:rPr>
        <w:t>Tujuan</w:t>
      </w:r>
    </w:p>
    <w:p>
      <w:pPr/>
      <w:r>
        <w:rPr>
          <w:lang w:val="id_ID" w:bidi="id_ID"/>
        </w:rPr>
      </w:r>
      <w:r>
        <w:rPr>
          <w:lang w:val="id_ID" w:bidi="id_ID"/>
        </w:rPr>
        <w:t>Menanamkan pengharapan di tengah-tengah penganiayaan dan membahas ajaran sesat dan kemalasan di dalam komunitas</w:t>
      </w:r>
    </w:p>
    <w:p>
      <w:pPr>
        <w:pStyle w:val="Heading3"/>
      </w:pPr>
      <w:r>
        <w:rPr>
          <w:lang w:val="id_ID" w:bidi="id_ID"/>
        </w:rPr>
        <w:t>Penulis</w:t>
      </w:r>
    </w:p>
    <w:p>
      <w:pPr/>
      <w:r>
        <w:rPr>
          <w:lang w:val="id_ID" w:bidi="id_ID"/>
        </w:rPr>
      </w:r>
      <w:r>
        <w:rPr>
          <w:lang w:val="id_ID" w:bidi="id_ID"/>
        </w:rPr>
        <w:t>Paulus, beserta Silas dan Timotius</w:t>
      </w:r>
    </w:p>
    <w:p>
      <w:pPr>
        <w:pStyle w:val="Heading3"/>
      </w:pPr>
      <w:r>
        <w:rPr>
          <w:lang w:val="id_ID" w:bidi="id_ID"/>
        </w:rPr>
        <w:t>Tahun penulisan</w:t>
      </w:r>
    </w:p>
    <w:p>
      <w:pPr/>
      <w:r>
        <w:rPr>
          <w:lang w:val="id_ID" w:bidi="id_ID"/>
        </w:rPr>
      </w:r>
      <w:r>
        <w:rPr>
          <w:lang w:val="id_ID" w:bidi="id_ID"/>
        </w:rPr>
        <w:t>Sekitar Tahun 51 M</w:t>
      </w:r>
    </w:p>
    <w:p>
      <w:pPr>
        <w:pStyle w:val="Heading3"/>
      </w:pPr>
      <w:r>
        <w:rPr>
          <w:lang w:val="id_ID" w:bidi="id_ID"/>
        </w:rPr>
        <w:t>Latar Belakang</w:t>
      </w:r>
    </w:p>
    <w:p>
      <w:pPr/>
      <w:r>
        <w:rPr>
          <w:lang w:val="id_ID" w:bidi="id_ID"/>
        </w:rPr>
      </w:r>
      <w:r>
        <w:rPr>
          <w:lang w:val="id_ID" w:bidi="id_ID"/>
        </w:rPr>
        <w:t>Ditulis segera setelah surat 1 Tesalonika, setelah penganiayaan meningkat di kota Tesalonika dan ajaran sesat muncul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