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 Summaries)</w:t>
      </w:r>
      <w:r>
        <w:rPr>
          <w:lang w:val="pt_PT" w:bidi="pt_PT"/>
        </w:rPr>
      </w:r>
    </w:p>
    <w:p>
      <w:pPr/>
      <w:r>
        <w:rPr>
          <w:lang w:val="pt_PT" w:bidi="pt_PT"/>
        </w:rPr>
      </w:r>
      <w:r>
        <w:rPr>
          <w:b/>
          <w:lang w:val="pt_PT" w:bidi="pt_PT"/>
        </w:rPr>
        <w:t>Aquifer Open Study Notes (Book Intro Summaries)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ECC</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Ecclesiastes</w:t>
      </w:r>
      <w:r>
        <w:rPr>
          <w:lang w:val="pt_PT" w:bidi="pt_PT"/>
        </w:rPr>
      </w:r>
    </w:p>
    <w:p>
      <w:pPr/>
      <w:r>
        <w:rPr>
          <w:lang w:val="pt_PT" w:bidi="pt_PT"/>
        </w:rPr>
      </w:r>
      <w:r>
        <w:rPr>
          <w:lang w:val="pt_PT" w:bidi="pt_PT"/>
        </w:rPr>
        <w:t>O livro de Eclesiastes</w:t>
      </w:r>
    </w:p>
    <w:p>
      <w:pPr>
        <w:pStyle w:val="Heading3"/>
      </w:pPr>
      <w:r>
        <w:rPr>
          <w:lang w:val="pt_PT" w:bidi="pt_PT"/>
        </w:rPr>
        <w:t>Propósito</w:t>
      </w:r>
    </w:p>
    <w:p>
      <w:pPr/>
      <w:r>
        <w:rPr>
          <w:lang w:val="pt_PT" w:bidi="pt_PT"/>
        </w:rPr>
      </w:r>
      <w:r>
        <w:rPr>
          <w:lang w:val="pt_PT" w:bidi="pt_PT"/>
        </w:rPr>
        <w:t>Refletir sobre o significado e prazer da vida</w:t>
      </w:r>
    </w:p>
    <w:p>
      <w:pPr>
        <w:pStyle w:val="Heading3"/>
      </w:pPr>
      <w:r>
        <w:rPr>
          <w:lang w:val="pt_PT" w:bidi="pt_PT"/>
        </w:rPr>
        <w:t>Autor</w:t>
      </w:r>
    </w:p>
    <w:p>
      <w:pPr/>
      <w:r>
        <w:rPr>
          <w:lang w:val="pt_PT" w:bidi="pt_PT"/>
        </w:rPr>
      </w:r>
      <w:r>
        <w:rPr>
          <w:lang w:val="pt_PT" w:bidi="pt_PT"/>
        </w:rPr>
        <w:t>Salomão</w:t>
      </w:r>
    </w:p>
    <w:p>
      <w:pPr>
        <w:pStyle w:val="Heading3"/>
      </w:pPr>
      <w:r>
        <w:rPr>
          <w:lang w:val="pt_PT" w:bidi="pt_PT"/>
        </w:rPr>
        <w:t>Data</w:t>
      </w:r>
    </w:p>
    <w:p>
      <w:pPr/>
      <w:r>
        <w:rPr>
          <w:lang w:val="pt_PT" w:bidi="pt_PT"/>
        </w:rPr>
      </w:r>
      <w:r>
        <w:rPr>
          <w:lang w:val="pt_PT" w:bidi="pt_PT"/>
        </w:rPr>
        <w:t>Por volta de 971–931 a.C.</w:t>
      </w:r>
    </w:p>
    <w:p>
      <w:pPr>
        <w:pStyle w:val="Heading3"/>
      </w:pPr>
      <w:r>
        <w:rPr>
          <w:lang w:val="pt_PT" w:bidi="pt_PT"/>
        </w:rPr>
        <w:t>Cenário</w:t>
      </w:r>
    </w:p>
    <w:p>
      <w:pPr/>
      <w:r>
        <w:rPr>
          <w:lang w:val="pt_PT" w:bidi="pt_PT"/>
        </w:rPr>
      </w:r>
      <w:r>
        <w:rPr>
          <w:lang w:val="pt_PT" w:bidi="pt_PT"/>
        </w:rPr>
        <w:t>O reinado extremamente próspero — mas aparentemente insatisfatório — do rei Salomão</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