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Jeremiah</w:t>
      </w:r>
      <w:r>
        <w:rPr>
          <w:lang w:val="pt_PT" w:bidi="pt_PT"/>
        </w:rPr>
      </w:r>
    </w:p>
    <w:p>
      <w:pPr/>
      <w:r>
        <w:rPr>
          <w:lang w:val="pt_PT" w:bidi="pt_PT"/>
        </w:rPr>
      </w:r>
      <w:r>
        <w:rPr>
          <w:lang w:val="pt_PT" w:bidi="pt_PT"/>
        </w:rPr>
        <w:t>O livro de Jeremias</w:t>
      </w:r>
    </w:p>
    <w:p>
      <w:pPr>
        <w:pStyle w:val="Heading3"/>
      </w:pPr>
      <w:r>
        <w:rPr>
          <w:lang w:val="pt_PT" w:bidi="pt_PT"/>
        </w:rPr>
        <w:t>Propósito</w:t>
      </w:r>
    </w:p>
    <w:p>
      <w:pPr/>
      <w:r>
        <w:rPr>
          <w:lang w:val="pt_PT" w:bidi="pt_PT"/>
        </w:rPr>
      </w:r>
      <w:r>
        <w:rPr>
          <w:lang w:val="pt_PT" w:bidi="pt_PT"/>
        </w:rPr>
        <w:t>Para advertir Judá da destruição vindoura, descrever as razões para o julgamento de Deus e encorajar a devoção renovada ao Senhor</w:t>
      </w:r>
    </w:p>
    <w:p>
      <w:pPr>
        <w:pStyle w:val="Heading3"/>
      </w:pPr>
      <w:r>
        <w:rPr>
          <w:lang w:val="pt_PT" w:bidi="pt_PT"/>
        </w:rPr>
        <w:t>Autor</w:t>
      </w:r>
    </w:p>
    <w:p>
      <w:pPr/>
      <w:r>
        <w:rPr>
          <w:lang w:val="pt_PT" w:bidi="pt_PT"/>
        </w:rPr>
      </w:r>
      <w:r>
        <w:rPr>
          <w:lang w:val="pt_PT" w:bidi="pt_PT"/>
        </w:rPr>
        <w:t>O conteúdo decorre de Jeremias; possivelmente escrito por Baruque</w:t>
      </w:r>
    </w:p>
    <w:p>
      <w:pPr>
        <w:pStyle w:val="Heading3"/>
      </w:pPr>
      <w:r>
        <w:rPr>
          <w:lang w:val="pt_PT" w:bidi="pt_PT"/>
        </w:rPr>
        <w:t>Data</w:t>
      </w:r>
    </w:p>
    <w:p>
      <w:pPr/>
      <w:r>
        <w:rPr>
          <w:lang w:val="pt_PT" w:bidi="pt_PT"/>
        </w:rPr>
      </w:r>
      <w:r>
        <w:rPr>
          <w:lang w:val="pt_PT" w:bidi="pt_PT"/>
        </w:rPr>
        <w:t>Por volta de 627–580 a.C.</w:t>
      </w:r>
    </w:p>
    <w:p>
      <w:pPr>
        <w:pStyle w:val="Heading3"/>
      </w:pPr>
      <w:r>
        <w:rPr>
          <w:lang w:val="pt_PT" w:bidi="pt_PT"/>
        </w:rPr>
        <w:t>Cenário</w:t>
      </w:r>
    </w:p>
    <w:p>
      <w:pPr/>
      <w:r>
        <w:rPr>
          <w:lang w:val="pt_PT" w:bidi="pt_PT"/>
        </w:rPr>
      </w:r>
      <w:r>
        <w:rPr>
          <w:lang w:val="pt_PT" w:bidi="pt_PT"/>
        </w:rPr>
        <w:t>Os anos finais do reino de Judá, a invasão e destruição de Jerusalém pelos babilônios, e os anos iniciais do exílio de Judá</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