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Zephaniah</w:t>
      </w:r>
      <w:r>
        <w:rPr>
          <w:lang w:val="pt_PT" w:bidi="pt_PT"/>
        </w:rPr>
      </w:r>
    </w:p>
    <w:p>
      <w:pPr/>
      <w:r>
        <w:rPr>
          <w:lang w:val="pt_PT" w:bidi="pt_PT"/>
        </w:rPr>
      </w:r>
      <w:r>
        <w:rPr>
          <w:lang w:val="pt_PT" w:bidi="pt_PT"/>
        </w:rPr>
        <w:t>O livro de Sofonias</w:t>
      </w:r>
    </w:p>
    <w:p>
      <w:pPr>
        <w:pStyle w:val="Heading3"/>
      </w:pPr>
      <w:r>
        <w:rPr>
          <w:lang w:val="pt_PT" w:bidi="pt_PT"/>
        </w:rPr>
        <w:t>Propósito</w:t>
      </w:r>
    </w:p>
    <w:p>
      <w:pPr/>
      <w:r>
        <w:rPr>
          <w:lang w:val="pt_PT" w:bidi="pt_PT"/>
        </w:rPr>
      </w:r>
      <w:r>
        <w:rPr>
          <w:lang w:val="pt_PT" w:bidi="pt_PT"/>
        </w:rPr>
        <w:t>Para advertir sobre a vinda do “dia do Senhor” e exortar o arrependimento</w:t>
      </w:r>
    </w:p>
    <w:p>
      <w:pPr>
        <w:pStyle w:val="Heading3"/>
      </w:pPr>
      <w:r>
        <w:rPr>
          <w:lang w:val="pt_PT" w:bidi="pt_PT"/>
        </w:rPr>
        <w:t>Autor</w:t>
      </w:r>
    </w:p>
    <w:p>
      <w:pPr/>
      <w:r>
        <w:rPr>
          <w:lang w:val="pt_PT" w:bidi="pt_PT"/>
        </w:rPr>
      </w:r>
      <w:r>
        <w:rPr>
          <w:lang w:val="pt_PT" w:bidi="pt_PT"/>
        </w:rPr>
        <w:t>Sofonias</w:t>
      </w:r>
    </w:p>
    <w:p>
      <w:pPr>
        <w:pStyle w:val="Heading3"/>
      </w:pPr>
      <w:r>
        <w:rPr>
          <w:lang w:val="pt_PT" w:bidi="pt_PT"/>
        </w:rPr>
        <w:t>Data</w:t>
      </w:r>
    </w:p>
    <w:p>
      <w:pPr/>
      <w:r>
        <w:rPr>
          <w:lang w:val="pt_PT" w:bidi="pt_PT"/>
        </w:rPr>
      </w:r>
      <w:r>
        <w:rPr>
          <w:lang w:val="pt_PT" w:bidi="pt_PT"/>
        </w:rPr>
        <w:t>Provavelmente entre 635 e 622 a.C.</w:t>
      </w:r>
    </w:p>
    <w:p>
      <w:pPr>
        <w:pStyle w:val="Heading3"/>
      </w:pPr>
      <w:r>
        <w:rPr>
          <w:lang w:val="pt_PT" w:bidi="pt_PT"/>
        </w:rPr>
        <w:t>Cenário</w:t>
      </w:r>
    </w:p>
    <w:p>
      <w:pPr/>
      <w:r>
        <w:rPr>
          <w:lang w:val="pt_PT" w:bidi="pt_PT"/>
        </w:rPr>
      </w:r>
      <w:r>
        <w:rPr>
          <w:lang w:val="pt_PT" w:bidi="pt_PT"/>
        </w:rPr>
        <w:t>Perto do início do reinado do rei Josias em Judá, antes de suas reformas religiosas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