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Timothy</w:t>
      </w:r>
      <w:r>
        <w:rPr>
          <w:lang w:val="pt_PT" w:bidi="pt_PT"/>
        </w:rPr>
      </w:r>
    </w:p>
    <w:p>
      <w:pPr/>
      <w:r>
        <w:rPr>
          <w:lang w:val="pt_PT" w:bidi="pt_PT"/>
        </w:rPr>
      </w:r>
      <w:r>
        <w:rPr>
          <w:lang w:val="pt_PT" w:bidi="pt_PT"/>
        </w:rPr>
        <w:t>A segunda carta de Paulo a Timóteo</w:t>
      </w:r>
    </w:p>
    <w:p>
      <w:pPr>
        <w:pStyle w:val="Heading3"/>
      </w:pPr>
      <w:r>
        <w:rPr>
          <w:lang w:val="pt_PT" w:bidi="pt_PT"/>
        </w:rPr>
        <w:t>Propósito</w:t>
      </w:r>
    </w:p>
    <w:p>
      <w:pPr/>
      <w:r>
        <w:rPr>
          <w:lang w:val="pt_PT" w:bidi="pt_PT"/>
        </w:rPr>
      </w:r>
      <w:r>
        <w:rPr>
          <w:lang w:val="pt_PT" w:bidi="pt_PT"/>
        </w:rPr>
        <w:t>Comissionar Timóteo para continuar a obra que Paulo havia começado e encorajar Timóteo a suportar o sofrimento</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Provavelmente por volta de 64 d.C.</w:t>
      </w:r>
    </w:p>
    <w:p>
      <w:pPr>
        <w:pStyle w:val="Heading3"/>
      </w:pPr>
      <w:r>
        <w:rPr>
          <w:lang w:val="pt_PT" w:bidi="pt_PT"/>
        </w:rPr>
        <w:t>Cenário</w:t>
      </w:r>
    </w:p>
    <w:p>
      <w:pPr/>
      <w:r>
        <w:rPr>
          <w:lang w:val="pt_PT" w:bidi="pt_PT"/>
        </w:rPr>
      </w:r>
      <w:r>
        <w:rPr>
          <w:lang w:val="pt_PT" w:bidi="pt_PT"/>
        </w:rPr>
        <w:t>Provavelmente escrito durante a segunda prisão de Paulo em Roma, pouco antes de sua morte — que ele entendia como iminente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