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1CH</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 Паралипоменон</w:t>
      </w:r>
      <w:r>
        <w:rPr>
          <w:lang w:val="ru_RU" w:bidi="ru_RU"/>
        </w:rPr>
      </w:r>
    </w:p>
    <w:p>
      <w:pPr/>
      <w:r>
        <w:rPr>
          <w:lang w:val="ru_RU" w:bidi="ru_RU"/>
        </w:rPr>
      </w:r>
      <w:r>
        <w:rPr>
          <w:lang w:val="ru_RU" w:bidi="ru_RU"/>
        </w:rPr>
        <w:t>Первая книга Паралипоменон</w:t>
      </w:r>
    </w:p>
    <w:p>
      <w:pPr>
        <w:pStyle w:val="Heading3"/>
      </w:pPr>
      <w:r>
        <w:rPr>
          <w:lang w:val="ru_RU" w:bidi="ru_RU"/>
        </w:rPr>
        <w:t>Цель</w:t>
      </w:r>
    </w:p>
    <w:p>
      <w:pPr/>
      <w:r>
        <w:rPr>
          <w:lang w:val="ru_RU" w:bidi="ru_RU"/>
        </w:rPr>
      </w:r>
      <w:r>
        <w:rPr>
          <w:lang w:val="ru_RU" w:bidi="ru_RU"/>
        </w:rPr>
        <w:t>Вселить надежду, – в основном, обращением к обетованию Давида – к евреям, которые вернулись на свою землю, но жили в порабощении.</w:t>
      </w:r>
    </w:p>
    <w:p>
      <w:pPr>
        <w:pStyle w:val="Heading3"/>
      </w:pPr>
      <w:r>
        <w:rPr>
          <w:lang w:val="ru_RU" w:bidi="ru_RU"/>
        </w:rPr>
        <w:t>Автор</w:t>
      </w:r>
    </w:p>
    <w:p>
      <w:pPr/>
      <w:r>
        <w:rPr>
          <w:lang w:val="ru_RU" w:bidi="ru_RU"/>
        </w:rPr>
      </w:r>
      <w:r>
        <w:rPr>
          <w:lang w:val="ru_RU" w:bidi="ru_RU"/>
        </w:rPr>
        <w:t>Неизвестен</w:t>
      </w:r>
    </w:p>
    <w:p>
      <w:pPr>
        <w:pStyle w:val="Heading3"/>
      </w:pPr>
      <w:r>
        <w:rPr>
          <w:lang w:val="ru_RU" w:bidi="ru_RU"/>
        </w:rPr>
        <w:t>Дата</w:t>
      </w:r>
    </w:p>
    <w:p>
      <w:pPr/>
      <w:r>
        <w:rPr>
          <w:lang w:val="ru_RU" w:bidi="ru_RU"/>
        </w:rPr>
      </w:r>
      <w:r>
        <w:rPr>
          <w:lang w:val="ru_RU" w:bidi="ru_RU"/>
        </w:rPr>
        <w:t>Вероятно, написано около 400 года до Р.Х. Большинство описанных событий произошли приблизительно в 1011–971 гг. до Р.Х.</w:t>
      </w:r>
    </w:p>
    <w:p>
      <w:pPr>
        <w:pStyle w:val="Heading3"/>
      </w:pPr>
      <w:r>
        <w:rPr>
          <w:lang w:val="ru_RU" w:bidi="ru_RU"/>
        </w:rPr>
        <w:t>Контекст</w:t>
      </w:r>
    </w:p>
    <w:p>
      <w:pPr/>
      <w:r>
        <w:rPr>
          <w:lang w:val="ru_RU" w:bidi="ru_RU"/>
        </w:rPr>
      </w:r>
      <w:r>
        <w:rPr>
          <w:lang w:val="ru_RU" w:bidi="ru_RU"/>
        </w:rPr>
        <w:t>После изгнания Иудея была вновь заселена евреями, однако они все еще жили под чужеземным (персидским) владычеством; повествование, по сути, прослеживает правление Давида.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