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w:t>
      </w:r>
      <w:r>
        <w:rPr>
          <w:lang w:val="ru_RU" w:bidi="ru_RU"/>
        </w:rPr>
      </w:r>
    </w:p>
    <w:p>
      <w:pPr/>
      <w:r>
        <w:rPr>
          <w:lang w:val="ru_RU" w:bidi="ru_RU"/>
        </w:rPr>
      </w:r>
      <w:r>
        <w:rPr>
          <w:lang w:val="ru_RU" w:bidi="ru_RU"/>
        </w:rPr>
        <w:t>Книга Есфирь</w:t>
      </w:r>
    </w:p>
    <w:p>
      <w:pPr>
        <w:pStyle w:val="Heading3"/>
      </w:pPr>
      <w:r>
        <w:rPr>
          <w:lang w:val="ru_RU" w:bidi="ru_RU"/>
        </w:rPr>
        <w:t>Цель</w:t>
      </w:r>
    </w:p>
    <w:p>
      <w:pPr/>
      <w:r>
        <w:rPr>
          <w:lang w:val="ru_RU" w:bidi="ru_RU"/>
        </w:rPr>
      </w:r>
      <w:r>
        <w:rPr>
          <w:lang w:val="ru_RU" w:bidi="ru_RU"/>
        </w:rPr>
        <w:t>Показать заботу Бога о Своем народе и проследить происхождение праздника Пурим.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483–471 гг. до Р.Х.</w:t>
      </w:r>
    </w:p>
    <w:p>
      <w:pPr>
        <w:pStyle w:val="Heading3"/>
      </w:pPr>
      <w:r>
        <w:rPr>
          <w:lang w:val="ru_RU" w:bidi="ru_RU"/>
        </w:rPr>
        <w:t>Контекст</w:t>
      </w:r>
    </w:p>
    <w:p>
      <w:pPr/>
      <w:r>
        <w:rPr>
          <w:lang w:val="ru_RU" w:bidi="ru_RU"/>
        </w:rPr>
      </w:r>
      <w:r>
        <w:rPr>
          <w:lang w:val="ru_RU" w:bidi="ru_RU"/>
        </w:rPr>
        <w:t>Персидская столица Сузы во время правления Ксеркса, после того как часть евреев вернулась в Иудею.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