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RUT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Ruth</w:t>
      </w:r>
      <w:r>
        <w:rPr>
          <w:lang w:val="es_ES" w:bidi="es_ES"/>
        </w:rPr>
      </w:r>
    </w:p>
    <w:p>
      <w:pPr/>
      <w:r>
        <w:rPr>
          <w:lang w:val="es_ES" w:bidi="es_ES"/>
        </w:rPr>
      </w:r>
      <w:r>
        <w:rPr>
          <w:lang w:val="es_ES" w:bidi="es_ES"/>
        </w:rPr>
        <w:t>El Libro de Rut</w:t>
      </w:r>
    </w:p>
    <w:p>
      <w:pPr>
        <w:pStyle w:val="Heading3"/>
      </w:pPr>
      <w:r>
        <w:rPr>
          <w:lang w:val="es_ES" w:bidi="es_ES"/>
        </w:rPr>
        <w:t>Propósito</w:t>
      </w:r>
    </w:p>
    <w:p>
      <w:pPr/>
      <w:r>
        <w:rPr>
          <w:lang w:val="es_ES" w:bidi="es_ES"/>
        </w:rPr>
      </w:r>
      <w:r>
        <w:rPr>
          <w:lang w:val="es_ES" w:bidi="es_ES"/>
        </w:rPr>
        <w:t>Contar la inspiradora historia de Rut y rastrear los antecedentes del Rey David</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alrededor del año 1100 a.C.</w:t>
      </w:r>
    </w:p>
    <w:p>
      <w:pPr>
        <w:pStyle w:val="Heading3"/>
      </w:pPr>
      <w:r>
        <w:rPr>
          <w:lang w:val="es_ES" w:bidi="es_ES"/>
        </w:rPr>
        <w:t>Contexto</w:t>
      </w:r>
    </w:p>
    <w:p>
      <w:pPr/>
      <w:r>
        <w:rPr>
          <w:lang w:val="es_ES" w:bidi="es_ES"/>
        </w:rPr>
      </w:r>
      <w:r>
        <w:rPr>
          <w:lang w:val="es_ES" w:bidi="es_ES"/>
        </w:rPr>
        <w:t>El período de los jueces, durante e inmediatamente después de una hambruna que había golpeado a Belén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