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JER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Jeremías</w:t>
      </w:r>
      <w:r>
        <w:rPr>
          <w:lang w:val="es_ES" w:bidi="es_ES"/>
        </w:rPr>
      </w:r>
    </w:p>
    <w:p>
      <w:pPr/>
      <w:r>
        <w:rPr>
          <w:lang w:val="es_ES" w:bidi="es_ES"/>
        </w:rPr>
      </w:r>
      <w:r>
        <w:rPr>
          <w:lang w:val="es_ES" w:bidi="es_ES"/>
        </w:rPr>
        <w:t>El Libro de Jeremías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Advertir a Judá sobre la destrucción que está por venir</w:t>
      </w:r>
    </w:p>
    <w:p>
      <w:pPr>
        <w:pStyle w:val="ListNumber"/>
        <w:spacing w:line="240" w:lineRule="auto"/>
        <w:ind w:left="720"/>
      </w:pPr>
      <w:r>
        <w:rPr>
          <w:lang w:val="es_ES" w:bidi="es_ES"/>
        </w:rPr>
      </w:r>
      <w:r>
        <w:rPr>
          <w:lang w:val="es_ES" w:bidi="es_ES"/>
        </w:rPr>
        <w:t>Delinear las razones del juicio de Dios</w:t>
      </w:r>
    </w:p>
    <w:p>
      <w:pPr>
        <w:pStyle w:val="ListNumber"/>
        <w:spacing w:line="240" w:lineRule="auto"/>
        <w:ind w:left="720"/>
      </w:pPr>
      <w:r>
        <w:rPr>
          <w:lang w:val="es_ES" w:bidi="es_ES"/>
        </w:rPr>
      </w:r>
      <w:r>
        <w:rPr>
          <w:lang w:val="es_ES" w:bidi="es_ES"/>
        </w:rPr>
        <w:t>Fomentar una renovada devoción al Señor</w:t>
      </w:r>
    </w:p>
    <w:p>
      <w:pPr>
        <w:pStyle w:val="Heading3"/>
      </w:pPr>
      <w:r>
        <w:rPr>
          <w:lang w:val="es_ES" w:bidi="es_ES"/>
        </w:rPr>
        <w:t>Autor</w:t>
      </w:r>
    </w:p>
    <w:p>
      <w:pPr/>
      <w:r>
        <w:rPr>
          <w:lang w:val="es_ES" w:bidi="es_ES"/>
        </w:rPr>
      </w:r>
      <w:r>
        <w:rPr>
          <w:lang w:val="es_ES" w:bidi="es_ES"/>
        </w:rPr>
        <w:t>El contenido se origina de Jeremías y posiblemente fue escrito por Baruc</w:t>
      </w:r>
    </w:p>
    <w:p>
      <w:pPr>
        <w:pStyle w:val="Heading3"/>
      </w:pPr>
      <w:r>
        <w:rPr>
          <w:lang w:val="es_ES" w:bidi="es_ES"/>
        </w:rPr>
        <w:t>Fecha</w:t>
      </w:r>
    </w:p>
    <w:p>
      <w:pPr/>
      <w:r>
        <w:rPr>
          <w:lang w:val="es_ES" w:bidi="es_ES"/>
        </w:rPr>
      </w:r>
      <w:r>
        <w:rPr>
          <w:lang w:val="es_ES" w:bidi="es_ES"/>
        </w:rPr>
        <w:t>Alrededor de 627–580 a.C.</w:t>
      </w:r>
    </w:p>
    <w:p>
      <w:pPr>
        <w:pStyle w:val="Heading3"/>
      </w:pPr>
      <w:r>
        <w:rPr>
          <w:lang w:val="es_ES" w:bidi="es_ES"/>
        </w:rPr>
        <w:t>Contexto</w:t>
      </w:r>
    </w:p>
    <w:p>
      <w:pPr/>
      <w:r>
        <w:rPr>
          <w:lang w:val="es_ES" w:bidi="es_ES"/>
        </w:rPr>
      </w:r>
      <w:r>
        <w:rPr>
          <w:lang w:val="es_ES" w:bidi="es_ES"/>
        </w:rPr>
        <w:t>Los últimos años del reino de Judá, la invasión y destrucción de Jerusalén por los babilonios, y los primeros años del exilio de Judá</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