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 Summaries)</w:t>
      </w:r>
      <w:r>
        <w:rPr>
          <w:lang w:val="es_ES" w:bidi="es_ES"/>
        </w:rPr>
      </w:r>
    </w:p>
    <w:p>
      <w:pPr/>
      <w:r>
        <w:rPr>
          <w:lang w:val="es_ES" w:bidi="es_ES"/>
        </w:rPr>
      </w:r>
      <w:r>
        <w:rPr>
          <w:b/>
          <w:lang w:val="es_ES" w:bidi="es_ES"/>
        </w:rPr>
        <w:t>Aquifer Open Study Notes (Book Intro Summaries)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NAM</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Nahúm</w:t>
      </w:r>
      <w:r>
        <w:rPr>
          <w:lang w:val="es_ES" w:bidi="es_ES"/>
        </w:rPr>
      </w:r>
    </w:p>
    <w:p>
      <w:pPr/>
      <w:r>
        <w:rPr>
          <w:lang w:val="es_ES" w:bidi="es_ES"/>
        </w:rPr>
      </w:r>
      <w:r>
        <w:rPr>
          <w:lang w:val="es_ES" w:bidi="es_ES"/>
        </w:rPr>
        <w:t>El Libro de Nahúm</w:t>
      </w:r>
    </w:p>
    <w:p>
      <w:pPr>
        <w:pStyle w:val="Heading3"/>
      </w:pPr>
      <w:r>
        <w:rPr>
          <w:lang w:val="es_ES" w:bidi="es_ES"/>
        </w:rPr>
        <w:t>Propósito</w:t>
      </w:r>
    </w:p>
    <w:p>
      <w:pPr/>
      <w:r>
        <w:rPr>
          <w:lang w:val="es_ES" w:bidi="es_ES"/>
        </w:rPr>
      </w:r>
      <w:r>
        <w:rPr>
          <w:lang w:val="es_ES" w:bidi="es_ES"/>
        </w:rPr>
        <w:t>Anunciar el juicio de Dios que vendría sobre Nínive, la capital del imperio asirio, ofreciendo así esperanza al pueblo de Judá</w:t>
      </w:r>
    </w:p>
    <w:p>
      <w:pPr>
        <w:pStyle w:val="Heading3"/>
      </w:pPr>
      <w:r>
        <w:rPr>
          <w:lang w:val="es_ES" w:bidi="es_ES"/>
        </w:rPr>
        <w:t>Autor</w:t>
      </w:r>
    </w:p>
    <w:p>
      <w:pPr/>
      <w:r>
        <w:rPr>
          <w:lang w:val="es_ES" w:bidi="es_ES"/>
        </w:rPr>
      </w:r>
      <w:r>
        <w:rPr>
          <w:lang w:val="es_ES" w:bidi="es_ES"/>
        </w:rPr>
        <w:t>Nahúm</w:t>
      </w:r>
    </w:p>
    <w:p>
      <w:pPr>
        <w:pStyle w:val="Heading3"/>
      </w:pPr>
      <w:r>
        <w:rPr>
          <w:lang w:val="es_ES" w:bidi="es_ES"/>
        </w:rPr>
        <w:t>Fecha</w:t>
      </w:r>
    </w:p>
    <w:p>
      <w:pPr/>
      <w:r>
        <w:rPr>
          <w:lang w:val="es_ES" w:bidi="es_ES"/>
        </w:rPr>
      </w:r>
      <w:r>
        <w:rPr>
          <w:lang w:val="es_ES" w:bidi="es_ES"/>
        </w:rPr>
        <w:t>Algún momento entre 663 y 612 a.C.</w:t>
      </w:r>
    </w:p>
    <w:p>
      <w:pPr>
        <w:pStyle w:val="Heading3"/>
      </w:pPr>
      <w:r>
        <w:rPr>
          <w:lang w:val="es_ES" w:bidi="es_ES"/>
        </w:rPr>
        <w:t>Contexto</w:t>
      </w:r>
    </w:p>
    <w:p>
      <w:pPr/>
      <w:r>
        <w:rPr>
          <w:lang w:val="es_ES" w:bidi="es_ES"/>
        </w:rPr>
      </w:r>
      <w:r>
        <w:rPr>
          <w:lang w:val="es_ES" w:bidi="es_ES"/>
        </w:rPr>
        <w:t>El Imperio Asirio había conquistado el reino del norte de Israel, y ahora el reino del sur de Judá estaba en peligro de enfrentar el mismo destino</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