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ZEP</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Sofonías</w:t>
      </w:r>
      <w:r>
        <w:rPr>
          <w:lang w:val="es_ES" w:bidi="es_ES"/>
        </w:rPr>
      </w:r>
    </w:p>
    <w:p>
      <w:pPr/>
      <w:r>
        <w:rPr>
          <w:lang w:val="es_ES" w:bidi="es_ES"/>
        </w:rPr>
      </w:r>
      <w:r>
        <w:rPr>
          <w:lang w:val="es_ES" w:bidi="es_ES"/>
        </w:rPr>
        <w:t>El Libro de Sofonías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Advertir sobre el próximo "día del Señor" (un tiempo en el que Dios interviene activamente en la historia, principalmente para hacer juicio)</w:t>
      </w:r>
    </w:p>
    <w:p>
      <w:pPr>
        <w:pStyle w:val="ListNumber"/>
        <w:spacing w:line="240" w:lineRule="auto"/>
        <w:ind w:left="720"/>
      </w:pPr>
      <w:r>
        <w:rPr>
          <w:lang w:val="es_ES" w:bidi="es_ES"/>
        </w:rPr>
      </w:r>
      <w:r>
        <w:rPr>
          <w:lang w:val="es_ES" w:bidi="es_ES"/>
        </w:rPr>
        <w:t>Instar al arrepentimiento</w:t>
      </w:r>
    </w:p>
    <w:p>
      <w:pPr>
        <w:pStyle w:val="Heading3"/>
      </w:pPr>
      <w:r>
        <w:rPr>
          <w:lang w:val="es_ES" w:bidi="es_ES"/>
        </w:rPr>
        <w:t>Autor</w:t>
      </w:r>
    </w:p>
    <w:p>
      <w:pPr/>
      <w:r>
        <w:rPr>
          <w:lang w:val="es_ES" w:bidi="es_ES"/>
        </w:rPr>
      </w:r>
      <w:r>
        <w:rPr>
          <w:lang w:val="es_ES" w:bidi="es_ES"/>
        </w:rPr>
        <w:t>Sofonías</w:t>
      </w:r>
    </w:p>
    <w:p>
      <w:pPr>
        <w:pStyle w:val="Heading3"/>
      </w:pPr>
      <w:r>
        <w:rPr>
          <w:lang w:val="es_ES" w:bidi="es_ES"/>
        </w:rPr>
        <w:t>Fecha</w:t>
      </w:r>
    </w:p>
    <w:p>
      <w:pPr/>
      <w:r>
        <w:rPr>
          <w:lang w:val="es_ES" w:bidi="es_ES"/>
        </w:rPr>
      </w:r>
      <w:r>
        <w:rPr>
          <w:lang w:val="es_ES" w:bidi="es_ES"/>
        </w:rPr>
        <w:t>Probablemente entre 635 y 622 a.C.</w:t>
      </w:r>
    </w:p>
    <w:p>
      <w:pPr>
        <w:pStyle w:val="Heading3"/>
      </w:pPr>
      <w:r>
        <w:rPr>
          <w:lang w:val="es_ES" w:bidi="es_ES"/>
        </w:rPr>
        <w:t>Contexto</w:t>
      </w:r>
    </w:p>
    <w:p>
      <w:pPr/>
      <w:r>
        <w:rPr>
          <w:lang w:val="es_ES" w:bidi="es_ES"/>
        </w:rPr>
      </w:r>
      <w:r>
        <w:rPr>
          <w:lang w:val="es_ES" w:bidi="es_ES"/>
        </w:rPr>
        <w:t>Cerca del comienzo del reinado del rey Josías en Judá, antes de sus reformas religiosas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