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sw_KE" w:bidi="sw_KE"/>
        </w:rPr>
      </w:r>
    </w:p>
    <w:p>
      <w:pPr>
        <w:pStyle w:val="Heading2"/>
      </w:pPr>
      <w:r>
        <w:rPr>
          <w:lang w:val="sw_KE" w:bidi="sw_KE"/>
        </w:rPr>
        <w:t>Resource: Aquifer Open Study Notes (Book Intro Summaries)</w:t>
      </w:r>
      <w:r>
        <w:rPr>
          <w:lang w:val="sw_KE" w:bidi="sw_KE"/>
        </w:rPr>
      </w:r>
    </w:p>
    <w:p>
      <w:pPr/>
      <w:r>
        <w:rPr>
          <w:lang w:val="sw_KE" w:bidi="sw_KE"/>
        </w:rPr>
      </w:r>
      <w:r>
        <w:rPr>
          <w:b/>
          <w:lang w:val="sw_KE" w:bidi="sw_KE"/>
        </w:rPr>
        <w:t>Aquifer Open Study Notes (Book Intro Summaries)</w:t>
      </w:r>
    </w:p>
    <w:p>
      <w:pPr/>
      <w:r>
        <w:rPr>
          <w:lang w:val="sw_KE" w:bidi="sw_KE"/>
        </w:rPr>
      </w:r>
      <w:r>
        <w:rPr>
          <w:lang w:val="sw_KE" w:bidi="sw_KE"/>
        </w:rPr>
        <w:t xml:space="preserve">This work is an adaptation of </w:t>
      </w:r>
      <w:r>
        <w:rPr>
          <w:lang w:val="sw_KE" w:bidi="sw_KE"/>
        </w:rPr>
        <w:t>Tyndale Open Study Notes</w:t>
      </w:r>
      <w:r>
        <w:rPr>
          <w:lang w:val="sw_KE" w:bidi="sw_KE"/>
        </w:rPr>
        <w:t xml:space="preserve"> © 2023 Tyndale House Publishers, licensed under the CC BY-SA 4.0 license. The adaptation, </w:t>
      </w:r>
      <w:r>
        <w:rPr>
          <w:lang w:val="sw_KE" w:bidi="sw_KE"/>
        </w:rPr>
        <w:t>Aquifer Open Study Notes</w:t>
      </w:r>
      <w:r>
        <w:rPr>
          <w:lang w:val="sw_KE" w:bidi="sw_KE"/>
        </w:rPr>
        <w:t>, was created by Mission Mutual and is also licensed under CC BY-SA 4.0.</w:t>
      </w:r>
    </w:p>
    <w:p>
      <w:pPr/>
      <w:r>
        <w:rPr>
          <w:lang w:val="sw_KE" w:bidi="sw_KE"/>
        </w:rPr>
      </w:r>
      <w:r>
        <w:rPr>
          <w:lang w:val="sw_KE" w:bidi="sw_KE"/>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sw_KE" w:bidi="sw_KE"/>
        </w:rPr>
      </w:r>
      <w:r>
        <w:rPr>
          <w:lang w:val="sw_KE" w:bidi="sw_KE"/>
        </w:rPr>
      </w:r>
    </w:p>
    <w:p>
      <w:pPr>
        <w:pStyle w:val="Heading1"/>
      </w:pPr>
      <w:r>
        <w:rPr>
          <w:lang w:val="sw_KE" w:bidi="sw_KE"/>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EZR</w:t>
      </w:r>
      <w:r>
        <w:rPr>
          <w:lang w:val="sw_KE" w:bidi="sw_KE"/>
        </w:rPr>
      </w:r>
    </w:p>
    <w:p>
      <w:pPr/>
      <w:r>
        <w:rPr>
          <w:lang w:val="sw_KE" w:bidi="sw_KE"/>
        </w:rPr>
      </w:r>
      <w:r>
        <w:rPr>
          <w:lang w:val="sw_KE" w:bidi="sw_KE"/>
        </w:rPr>
        <w:t xml:space="preserve"> </w:t>
      </w:r>
      <w:r>
        <w:rPr>
          <w:lang w:val="sw_KE" w:bidi="sw_KE"/>
        </w:rPr>
      </w:r>
      <w:r>
        <w:rPr>
          <w:lang w:val="sw_KE" w:bidi="sw_K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Ezra</w:t>
      </w:r>
      <w:r>
        <w:rPr>
          <w:lang w:val="sw_KE" w:bidi="sw_KE"/>
        </w:rPr>
      </w:r>
    </w:p>
    <w:p>
      <w:pPr/>
      <w:r>
        <w:rPr>
          <w:lang w:val="sw_KE" w:bidi="sw_KE"/>
        </w:rPr>
      </w:r>
      <w:r>
        <w:rPr>
          <w:lang w:val="sw_KE" w:bidi="sw_KE"/>
        </w:rPr>
        <w:t>Kitabu cha Ezra</w:t>
      </w:r>
    </w:p>
    <w:p>
      <w:pPr>
        <w:pStyle w:val="Heading3"/>
      </w:pPr>
      <w:r>
        <w:rPr>
          <w:lang w:val="sw_KE" w:bidi="sw_KE"/>
        </w:rPr>
        <w:t>Kusudi</w:t>
      </w:r>
    </w:p>
    <w:p>
      <w:pPr/>
      <w:r>
        <w:rPr>
          <w:lang w:val="sw_KE" w:bidi="sw_KE"/>
        </w:rPr>
      </w:r>
      <w:r>
        <w:rPr>
          <w:lang w:val="sw_KE" w:bidi="sw_KE"/>
        </w:rPr>
        <w:t>Kuonyesha jinsi Mungu alivyoendelea kukidhi mahitaji ya watu wake na kuonyesha jinsi ya kuishi wanapokabiliwa na utawala wa kigeni, upinzani, na ushawishi wa kipagani</w:t>
      </w:r>
    </w:p>
    <w:p>
      <w:pPr>
        <w:pStyle w:val="Heading3"/>
      </w:pPr>
      <w:r>
        <w:rPr>
          <w:lang w:val="sw_KE" w:bidi="sw_KE"/>
        </w:rPr>
        <w:t>Mwandishi</w:t>
      </w:r>
    </w:p>
    <w:p>
      <w:pPr/>
      <w:r>
        <w:rPr>
          <w:lang w:val="sw_KE" w:bidi="sw_KE"/>
        </w:rPr>
      </w:r>
      <w:r>
        <w:rPr>
          <w:lang w:val="sw_KE" w:bidi="sw_KE"/>
        </w:rPr>
        <w:t>Ezra, kulingana na mapokeo</w:t>
      </w:r>
    </w:p>
    <w:p>
      <w:pPr>
        <w:pStyle w:val="Heading3"/>
      </w:pPr>
      <w:r>
        <w:rPr>
          <w:lang w:val="sw_KE" w:bidi="sw_KE"/>
        </w:rPr>
        <w:t>Tarehe</w:t>
      </w:r>
    </w:p>
    <w:p>
      <w:pPr/>
      <w:r>
        <w:rPr>
          <w:lang w:val="sw_KE" w:bidi="sw_KE"/>
        </w:rPr>
      </w:r>
      <w:r>
        <w:rPr>
          <w:lang w:val="sw_KE" w:bidi="sw_KE"/>
        </w:rPr>
        <w:t>Kinarekodi matukio ambayo yalitokea takriban mnamo 538–457 KK</w:t>
      </w:r>
    </w:p>
    <w:p>
      <w:pPr>
        <w:pStyle w:val="Heading3"/>
      </w:pPr>
      <w:r>
        <w:rPr>
          <w:lang w:val="sw_KE" w:bidi="sw_KE"/>
        </w:rPr>
        <w:t>Muktadha</w:t>
      </w:r>
    </w:p>
    <w:p>
      <w:pPr/>
      <w:r>
        <w:rPr>
          <w:lang w:val="sw_KE" w:bidi="sw_KE"/>
        </w:rPr>
      </w:r>
      <w:r>
        <w:rPr>
          <w:lang w:val="sw_KE" w:bidi="sw_KE"/>
        </w:rPr>
        <w:t>Yerusalemu, kuanzia na Waisraeli wa kwanza waliorudi kutoka uhamishoni na kuishia na kuwasili kwa Ezra katika mji huo</w:t>
      </w:r>
      <w:r>
        <w:rPr>
          <w:lang w:val="sw_KE" w:bidi="sw_KE"/>
        </w:rPr>
      </w:r>
      <w:r>
        <w:rPr>
          <w:lang w:val="sw_KE" w:bidi="sw_KE"/>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w_KE"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