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Esther</w:t>
      </w:r>
      <w:r/>
    </w:p>
    <w:p>
      <w:r/>
      <w:r>
        <w:t>The Book of Esther</w:t>
      </w:r>
    </w:p>
    <w:p>
      <w:pPr>
        <w:pStyle w:val="Heading3"/>
      </w:pPr>
      <w:r>
        <w:t>Purpose</w:t>
      </w:r>
    </w:p>
    <w:p>
      <w:pPr>
        <w:pStyle w:val="ListNumber"/>
        <w:spacing w:line="240" w:lineRule="auto"/>
        <w:ind w:left="720"/>
      </w:pPr>
      <w:r/>
      <w:r>
        <w:t xml:space="preserve">To demonstrate God’s providential care of his people </w:t>
      </w:r>
    </w:p>
    <w:p>
      <w:pPr>
        <w:pStyle w:val="ListNumber"/>
        <w:spacing w:line="240" w:lineRule="auto"/>
        <w:ind w:left="720"/>
      </w:pPr>
      <w:r/>
      <w:r>
        <w:t>To trace the origin of the Festival of Purim</w:t>
      </w:r>
    </w:p>
    <w:p>
      <w:pPr>
        <w:pStyle w:val="Heading3"/>
      </w:pPr>
      <w:r>
        <w:t>Author</w:t>
      </w:r>
    </w:p>
    <w:p>
      <w:r/>
      <w:r>
        <w:t>Unknown</w:t>
      </w:r>
    </w:p>
    <w:p>
      <w:pPr>
        <w:pStyle w:val="Heading3"/>
      </w:pPr>
      <w:r>
        <w:t>Date</w:t>
      </w:r>
    </w:p>
    <w:p>
      <w:r/>
      <w:r>
        <w:t>Records events that occurred around 483–473 BC</w:t>
      </w:r>
    </w:p>
    <w:p>
      <w:pPr>
        <w:pStyle w:val="Heading3"/>
      </w:pPr>
      <w:r>
        <w:t>Setting</w:t>
      </w:r>
    </w:p>
    <w:p>
      <w:r/>
      <w:r>
        <w:t>The Persian capital, Susa, during the reign of Xerxes, after many Jews had returned to Judea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