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</w:t>
      </w:r>
      <w:r/>
    </w:p>
    <w:p>
      <w:r/>
      <w:r>
        <w:t>Kitab 1 Samuel</w:t>
      </w:r>
    </w:p>
    <w:p>
      <w:pPr>
        <w:pStyle w:val="Heading3"/>
      </w:pPr>
      <w:r>
        <w:t>Tujuan</w:t>
      </w:r>
    </w:p>
    <w:p>
      <w:r/>
      <w:r>
        <w:t>Menceritakan pembentukan Kerajaan Israel dan menekankan karakter yang berbeda dari dua raja Israel yang pertama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1050–1011 SM</w:t>
      </w:r>
    </w:p>
    <w:p>
      <w:pPr>
        <w:pStyle w:val="Heading3"/>
      </w:pPr>
      <w:r>
        <w:t>Latar Belakang</w:t>
      </w:r>
    </w:p>
    <w:p>
      <w:r/>
      <w:r>
        <w:t>Peralihan dari zaman hakim-hakim kepada zaman Kerajaan Israel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