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r/>
    </w:p>
    <w:p>
      <w:pPr>
        <w:pStyle w:val="Heading2"/>
      </w:pPr>
      <w:r>
        <w:t>License Information</w:t>
      </w:r>
      <w:r/>
    </w:p>
    <w:p>
      <w:r/>
      <w:r>
        <w:rPr>
          <w:b/>
        </w:rPr>
        <w:t>Study Notes - Book Intro Summaries (Tyndale)</w:t>
      </w:r>
      <w:r>
        <w:t xml:space="preserve"> (Swahili) is based on</w:t>
      </w:r>
      <w:r>
        <w:t xml:space="preserve">: </w:t>
      </w:r>
      <w:r>
        <w:t>Tyndale Open Study Notes</w:t>
      </w:r>
      <w:r>
        <w:t xml:space="preserve">, </w:t>
      </w:r>
      <w:hyperlink r:id="rId13">
        <w:r>
          <w:rPr>
            <w:color w:val="0000EE"/>
            <w:u w:val="single"/>
          </w:rPr>
          <w:t>Tyndale House Publishers</w:t>
        </w:r>
      </w:hyperlink>
      <w:r>
        <w:t xml:space="preserve">, 2019, which is licensed under a </w:t>
      </w:r>
      <w:hyperlink r:id="rId14">
        <w:r>
          <w:rPr>
            <w:color w:val="0000EE"/>
            <w:u w:val="single"/>
          </w:rPr>
          <w:t>CC BY-SA 4.0 license</w:t>
        </w:r>
      </w:hyperlink>
      <w:r>
        <w:t>.</w:t>
      </w:r>
      <w:r/>
    </w:p>
    <w:p>
      <w:r/>
      <w:r>
        <w:t>This PDF version is provided under the same license.</w:t>
      </w:r>
      <w:r/>
      <w:r/>
    </w:p>
    <w:p>
      <w:pPr>
        <w:pStyle w:val="Heading1"/>
      </w:pPr>
      <w:r>
        <w:t>Study Notes - Book Intro Summaries (Tyndale)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r/>
    </w:p>
    <w:p>
      <w:pPr>
        <w:pStyle w:val="Heading2"/>
      </w:pPr>
      <w:r>
        <w:t>1 Samweli</w:t>
      </w:r>
      <w:r/>
    </w:p>
    <w:p>
      <w:r/>
      <w:r>
        <w:t>Kitabu cha Samweli wa Kwanza</w:t>
      </w:r>
    </w:p>
    <w:p>
      <w:pPr>
        <w:pStyle w:val="Heading3"/>
      </w:pPr>
      <w:r>
        <w:t>Kusudi</w:t>
      </w:r>
    </w:p>
    <w:p>
      <w:r/>
      <w:r>
        <w:t>Kusimulia kuanzishwa kwa ufalme wa Israeli na kuangazia tabia zilizotofautiana za wafalme wawili wa kwanza wa Israeli</w:t>
      </w:r>
    </w:p>
    <w:p>
      <w:pPr>
        <w:pStyle w:val="Heading3"/>
      </w:pPr>
      <w:r>
        <w:t>Mwandishi</w:t>
      </w:r>
    </w:p>
    <w:p>
      <w:r/>
      <w:r>
        <w:t>Hajulikani</w:t>
      </w:r>
    </w:p>
    <w:p>
      <w:pPr>
        <w:pStyle w:val="Heading3"/>
      </w:pPr>
      <w:r>
        <w:t>Tarehe</w:t>
      </w:r>
    </w:p>
    <w:p>
      <w:r/>
      <w:r>
        <w:t>Kinarekodi matukio ambayo yalitokea takriban mnamo 1050–1011 KK</w:t>
      </w:r>
    </w:p>
    <w:p>
      <w:pPr>
        <w:pStyle w:val="Heading3"/>
      </w:pPr>
      <w:r>
        <w:t>Muktadha</w:t>
      </w:r>
    </w:p>
    <w:p>
      <w:r/>
      <w:r>
        <w:t>Kipindi cha mpito kutoka enzi ya waamuzi hadi wakati wa kuanzishwa kwa ufalme wa Israeli</w:t>
      </w:r>
      <w:r/>
      <w:r/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tyndaleopenresources.com/" TargetMode="External"/><Relationship Id="rId14" Type="http://schemas.openxmlformats.org/officeDocument/2006/relationships/hyperlink" Target="https://creativecommons.org/licenses/by-sa/4.0/legalcode.en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