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以西結</w:t>
      </w:r>
      <w:r/>
    </w:p>
    <w:p>
      <w:r/>
      <w:r>
        <w:t>以西結書</w:t>
      </w:r>
    </w:p>
    <w:p>
      <w:pPr>
        <w:pStyle w:val="Heading3"/>
      </w:pPr>
      <w:r>
        <w:t>寫作目的</w:t>
      </w:r>
    </w:p>
    <w:p>
      <w:r/>
      <w:r>
        <w:t>宣告對猶大的審判將臨，並在耶路撒冷被毀滅後提供希望</w:t>
      </w:r>
    </w:p>
    <w:p>
      <w:pPr>
        <w:pStyle w:val="Heading3"/>
      </w:pPr>
      <w:r>
        <w:t>作者</w:t>
      </w:r>
    </w:p>
    <w:p>
      <w:r/>
      <w:r>
        <w:t>以西結</w:t>
      </w:r>
    </w:p>
    <w:p>
      <w:pPr>
        <w:pStyle w:val="Heading3"/>
      </w:pPr>
      <w:r>
        <w:t>日期</w:t>
      </w:r>
    </w:p>
    <w:p>
      <w:r/>
      <w:r>
        <w:t>約公元前593–571年</w:t>
      </w:r>
    </w:p>
    <w:p>
      <w:pPr>
        <w:pStyle w:val="Heading3"/>
      </w:pPr>
      <w:r>
        <w:t>背景</w:t>
      </w:r>
    </w:p>
    <w:p>
      <w:r/>
      <w:r>
        <w:t>被擄到巴比倫的期間，在耶路撒冷被毀之前、期間和之後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